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2ECA" w14:textId="77777777" w:rsidR="00324B7F" w:rsidRDefault="00000000">
      <w:pPr>
        <w:spacing w:after="160"/>
      </w:pPr>
      <w:r>
        <w:rPr>
          <w:rFonts w:ascii="Calibri" w:hAnsi="Calibri"/>
          <w:b/>
          <w:color w:val="042F2E"/>
          <w:sz w:val="36"/>
        </w:rPr>
        <w:t>The Demographic Inversion Arbitrage: Why Continental Europe Needs Outbound Indian Talent in 2026</w:t>
      </w:r>
    </w:p>
    <w:p w14:paraId="7A2DDBF6" w14:textId="77777777" w:rsidR="00324B7F" w:rsidRDefault="00000000">
      <w:pPr>
        <w:spacing w:after="280"/>
      </w:pPr>
      <w:r>
        <w:rPr>
          <w:rFonts w:ascii="Calibri" w:hAnsi="Calibri"/>
          <w:i/>
          <w:color w:val="475569"/>
          <w:sz w:val="20"/>
        </w:rPr>
        <w:t>An econometric post-mortem on Europe's aging population crisis (Germany 46.2y, Italy 48.4y), the €20,000 vs €250,000 human capital acquisition arbitrage, and why zero-tuition sovereign higher education is an economic survival strategy, not charity.</w:t>
      </w:r>
    </w:p>
    <w:p w14:paraId="4C5C71BD" w14:textId="77777777" w:rsidR="00324B7F" w:rsidRDefault="00000000">
      <w:pPr>
        <w:spacing w:before="120" w:after="160"/>
        <w:ind w:left="288"/>
      </w:pPr>
      <w:r>
        <w:rPr>
          <w:rFonts w:ascii="Calibri" w:hAnsi="Calibri"/>
          <w:i/>
          <w:color w:val="134E4A"/>
          <w:sz w:val="20"/>
        </w:rPr>
        <w:t>"Sovereign welfare states do not subsidize higher education out of altruism; they do so to avert demographic insolvency. When an industrial economy's median age approaches 48 years, subsidizing international engineering and scientific talent is the single highest-yielding capital allocation a finance ministry can execute."</w:t>
      </w:r>
    </w:p>
    <w:p w14:paraId="1A761FF7" w14:textId="77777777" w:rsidR="00324B7F" w:rsidRDefault="00000000">
      <w:pPr>
        <w:spacing w:before="120" w:after="160"/>
        <w:ind w:left="288"/>
      </w:pPr>
      <w:r>
        <w:rPr>
          <w:rFonts w:ascii="Calibri" w:hAnsi="Calibri"/>
          <w:i/>
          <w:color w:val="134E4A"/>
          <w:sz w:val="20"/>
        </w:rPr>
        <w:t>— Mr. Jayant Patil | Founder &amp; CEO, Finesse Overseas Education (Alumni VJTI &amp; JBIMS)</w:t>
      </w:r>
    </w:p>
    <w:p w14:paraId="7C11BC5A" w14:textId="77777777" w:rsidR="00324B7F" w:rsidRDefault="00000000">
      <w:pPr>
        <w:spacing w:before="320" w:after="120"/>
      </w:pPr>
      <w:r>
        <w:rPr>
          <w:rFonts w:ascii="Calibri" w:hAnsi="Calibri"/>
          <w:b/>
          <w:color w:val="0F766E"/>
          <w:sz w:val="27"/>
        </w:rPr>
        <w:t>⚡ Quick Executive Summary: The 3 Core Truths</w:t>
      </w:r>
    </w:p>
    <w:p w14:paraId="4F73B8B6"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The Demographic Cliff: Europe is facing the world's most acute workforce aging crisis. With 31.4% of Germany's skilled workforce retiring between 2025 and 2032 and Italy's median age reaching 48.4 years, European industry faces immediate structural stagnation without international talent.</w:t>
      </w:r>
    </w:p>
    <w:p w14:paraId="25820D3D"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The Human Capital Arbitrage: Rearing a domestic European citizen from infancy to an engineering master's degree costs the state and household over €250,000 (₹2.3+ Crore). In contrast, providing zero-tuition public master's education to an already-qualified Indian graduate costs the state merely €15,000 to €20,000—an investment the graduate repays through income taxes and social security within 14 to 18 months of employment.</w:t>
      </w:r>
    </w:p>
    <w:p w14:paraId="09429EF3"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The Policy Divergence: While Canada and the UK exploited international students as transactional revenue to patch university deficits (resulting in sudden caps, GIC escalations, and £38,700 wage barriers), Germany and Italy have legally cemented fast-track integration via Fachkräfteeinwanderungsgesetz 2.0 (Chancenkarte), DSU constitutional living grants, and 21-month Permanent Residency (Niederlassungserlaubnis).</w:t>
      </w:r>
    </w:p>
    <w:p w14:paraId="0FE2EB21" w14:textId="77777777" w:rsidR="0098272F" w:rsidRDefault="0098272F">
      <w:pPr>
        <w:spacing w:before="320" w:after="120"/>
        <w:rPr>
          <w:rFonts w:ascii="Calibri" w:hAnsi="Calibri"/>
          <w:color w:val="0F172A"/>
          <w:sz w:val="20"/>
        </w:rPr>
      </w:pPr>
    </w:p>
    <w:p w14:paraId="1F0674F9" w14:textId="522C7DCC" w:rsidR="00324B7F" w:rsidRDefault="00000000">
      <w:pPr>
        <w:spacing w:before="320" w:after="120"/>
      </w:pPr>
      <w:r>
        <w:rPr>
          <w:rFonts w:ascii="Calibri" w:hAnsi="Calibri"/>
          <w:b/>
          <w:color w:val="0F766E"/>
          <w:sz w:val="27"/>
        </w:rPr>
        <w:t>1. The Demographic Inversion Thesis: The 48-Year-Old Median Age Crisis</w:t>
      </w:r>
    </w:p>
    <w:p w14:paraId="55C23D83" w14:textId="77777777" w:rsidR="00324B7F" w:rsidRDefault="00000000">
      <w:pPr>
        <w:spacing w:before="40" w:after="120"/>
      </w:pPr>
      <w:r>
        <w:rPr>
          <w:rFonts w:ascii="Calibri" w:hAnsi="Calibri"/>
          <w:color w:val="0F172A"/>
          <w:sz w:val="20"/>
        </w:rPr>
        <w:t>For decades, middle-class Indian families have viewed study abroad through a one-sided lens: "How can my child gain admission to a developed nation?"</w:t>
      </w:r>
    </w:p>
    <w:p w14:paraId="17BEA841" w14:textId="77777777" w:rsidR="00324B7F" w:rsidRDefault="00000000">
      <w:pPr>
        <w:spacing w:before="40" w:after="120"/>
      </w:pPr>
      <w:r>
        <w:rPr>
          <w:rFonts w:ascii="Calibri" w:hAnsi="Calibri"/>
          <w:color w:val="0F172A"/>
          <w:sz w:val="20"/>
        </w:rPr>
        <w:t>In 2026, macroeconomic reality has flipped the question: "How can European sovereign economies attract and retain high-caliber young engineers, scientists, and doctors to prevent industrial contraction?"</w:t>
      </w:r>
    </w:p>
    <w:p w14:paraId="08497B0A" w14:textId="77777777" w:rsidR="00324B7F" w:rsidRDefault="00000000">
      <w:pPr>
        <w:spacing w:before="40" w:after="120"/>
      </w:pPr>
      <w:r>
        <w:rPr>
          <w:rFonts w:ascii="Calibri" w:hAnsi="Calibri"/>
          <w:color w:val="0F172A"/>
          <w:sz w:val="20"/>
        </w:rPr>
        <w:t>The fundamental driver of European higher education policy is an unprecedented demographic divergence between aging European economies and India's youthful talent pool:</w:t>
      </w:r>
    </w:p>
    <w:p w14:paraId="660AF34E" w14:textId="77777777" w:rsidR="0098272F" w:rsidRDefault="0098272F">
      <w:pPr>
        <w:rPr>
          <w:rFonts w:ascii="Calibri" w:hAnsi="Calibri"/>
          <w:b/>
          <w:color w:val="0F172A"/>
          <w:sz w:val="23"/>
        </w:rPr>
      </w:pPr>
      <w:r>
        <w:rPr>
          <w:rFonts w:ascii="Calibri" w:hAnsi="Calibri"/>
          <w:b/>
          <w:color w:val="0F172A"/>
          <w:sz w:val="23"/>
        </w:rPr>
        <w:br w:type="page"/>
      </w:r>
    </w:p>
    <w:p w14:paraId="0601F5AB" w14:textId="147EF85E" w:rsidR="00324B7F" w:rsidRDefault="00000000">
      <w:pPr>
        <w:spacing w:before="240" w:after="80"/>
      </w:pPr>
      <w:r>
        <w:rPr>
          <w:rFonts w:ascii="Calibri" w:hAnsi="Calibri"/>
          <w:b/>
          <w:color w:val="0F172A"/>
          <w:sz w:val="23"/>
        </w:rPr>
        <w:lastRenderedPageBreak/>
        <w:t>Demographic Inversion Matrix: Europe vs. India (Eurostat &amp; Destatis 2026)</w:t>
      </w:r>
    </w:p>
    <w:tbl>
      <w:tblPr>
        <w:tblW w:w="0" w:type="auto"/>
        <w:jc w:val="center"/>
        <w:tblLayout w:type="fixed"/>
        <w:tblLook w:val="04A0" w:firstRow="1" w:lastRow="0" w:firstColumn="1" w:lastColumn="0" w:noHBand="0" w:noVBand="1"/>
      </w:tblPr>
      <w:tblGrid>
        <w:gridCol w:w="1656"/>
        <w:gridCol w:w="1271"/>
        <w:gridCol w:w="1843"/>
        <w:gridCol w:w="1559"/>
        <w:gridCol w:w="1276"/>
        <w:gridCol w:w="2331"/>
      </w:tblGrid>
      <w:tr w:rsidR="00324B7F" w14:paraId="7DDC8A80" w14:textId="77777777" w:rsidTr="0098272F">
        <w:trPr>
          <w:jc w:val="center"/>
        </w:trPr>
        <w:tc>
          <w:tcPr>
            <w:tcW w:w="1656" w:type="dxa"/>
            <w:shd w:val="clear" w:color="auto" w:fill="0F172A"/>
          </w:tcPr>
          <w:p w14:paraId="143A5C18" w14:textId="77777777" w:rsidR="00324B7F" w:rsidRDefault="00000000">
            <w:pPr>
              <w:spacing w:before="40" w:after="40"/>
            </w:pPr>
            <w:r>
              <w:rPr>
                <w:rFonts w:ascii="Calibri" w:hAnsi="Calibri"/>
                <w:b/>
                <w:color w:val="FFFFFF"/>
                <w:sz w:val="18"/>
              </w:rPr>
              <w:t>Demographic Indicator</w:t>
            </w:r>
          </w:p>
        </w:tc>
        <w:tc>
          <w:tcPr>
            <w:tcW w:w="1271" w:type="dxa"/>
            <w:shd w:val="clear" w:color="auto" w:fill="0F172A"/>
          </w:tcPr>
          <w:p w14:paraId="1DEBB653" w14:textId="77777777" w:rsidR="00324B7F" w:rsidRDefault="00000000">
            <w:pPr>
              <w:spacing w:before="40" w:after="40"/>
            </w:pPr>
            <w:r>
              <w:rPr>
                <w:rFonts w:ascii="Calibri" w:hAnsi="Calibri"/>
                <w:b/>
                <w:color w:val="FFFFFF"/>
                <w:sz w:val="18"/>
              </w:rPr>
              <w:t>Germany 🇩🇪</w:t>
            </w:r>
          </w:p>
        </w:tc>
        <w:tc>
          <w:tcPr>
            <w:tcW w:w="1843" w:type="dxa"/>
            <w:shd w:val="clear" w:color="auto" w:fill="0F172A"/>
          </w:tcPr>
          <w:p w14:paraId="76BE4B11" w14:textId="77777777" w:rsidR="00324B7F" w:rsidRDefault="00000000">
            <w:pPr>
              <w:spacing w:before="40" w:after="40"/>
            </w:pPr>
            <w:r>
              <w:rPr>
                <w:rFonts w:ascii="Calibri" w:hAnsi="Calibri"/>
                <w:b/>
                <w:color w:val="FFFFFF"/>
                <w:sz w:val="18"/>
              </w:rPr>
              <w:t>Italy 🇮🇹</w:t>
            </w:r>
          </w:p>
        </w:tc>
        <w:tc>
          <w:tcPr>
            <w:tcW w:w="1559" w:type="dxa"/>
            <w:shd w:val="clear" w:color="auto" w:fill="0F172A"/>
          </w:tcPr>
          <w:p w14:paraId="7D52BEDD" w14:textId="77777777" w:rsidR="00324B7F" w:rsidRDefault="00000000">
            <w:pPr>
              <w:spacing w:before="40" w:after="40"/>
            </w:pPr>
            <w:r>
              <w:rPr>
                <w:rFonts w:ascii="Calibri" w:hAnsi="Calibri"/>
                <w:b/>
                <w:color w:val="FFFFFF"/>
                <w:sz w:val="18"/>
              </w:rPr>
              <w:t>European Union (Avg) 🇪🇺</w:t>
            </w:r>
          </w:p>
        </w:tc>
        <w:tc>
          <w:tcPr>
            <w:tcW w:w="1276" w:type="dxa"/>
            <w:shd w:val="clear" w:color="auto" w:fill="0F172A"/>
          </w:tcPr>
          <w:p w14:paraId="6A710F81" w14:textId="77777777" w:rsidR="00324B7F" w:rsidRDefault="00000000">
            <w:pPr>
              <w:spacing w:before="40" w:after="40"/>
            </w:pPr>
            <w:r>
              <w:rPr>
                <w:rFonts w:ascii="Calibri" w:hAnsi="Calibri"/>
                <w:b/>
                <w:color w:val="FFFFFF"/>
                <w:sz w:val="18"/>
              </w:rPr>
              <w:t>India 🇮🇳</w:t>
            </w:r>
          </w:p>
        </w:tc>
        <w:tc>
          <w:tcPr>
            <w:tcW w:w="2331" w:type="dxa"/>
            <w:shd w:val="clear" w:color="auto" w:fill="0F172A"/>
          </w:tcPr>
          <w:p w14:paraId="0E6CC55F" w14:textId="77777777" w:rsidR="00324B7F" w:rsidRDefault="00000000">
            <w:pPr>
              <w:spacing w:before="40" w:after="40"/>
            </w:pPr>
            <w:r>
              <w:rPr>
                <w:rFonts w:ascii="Calibri" w:hAnsi="Calibri"/>
                <w:b/>
                <w:color w:val="FFFFFF"/>
                <w:sz w:val="18"/>
              </w:rPr>
              <w:t>Macroeconomic Consequence</w:t>
            </w:r>
          </w:p>
        </w:tc>
      </w:tr>
      <w:tr w:rsidR="00324B7F" w14:paraId="4181E14D" w14:textId="77777777" w:rsidTr="0098272F">
        <w:trPr>
          <w:jc w:val="center"/>
        </w:trPr>
        <w:tc>
          <w:tcPr>
            <w:tcW w:w="1656" w:type="dxa"/>
          </w:tcPr>
          <w:p w14:paraId="10BA4B29" w14:textId="77777777" w:rsidR="00324B7F" w:rsidRDefault="00000000">
            <w:pPr>
              <w:spacing w:before="40" w:after="40"/>
            </w:pPr>
            <w:r>
              <w:rPr>
                <w:rFonts w:ascii="Calibri" w:hAnsi="Calibri"/>
                <w:color w:val="0F172A"/>
                <w:sz w:val="18"/>
              </w:rPr>
              <w:t>Median Population Age</w:t>
            </w:r>
          </w:p>
        </w:tc>
        <w:tc>
          <w:tcPr>
            <w:tcW w:w="1271" w:type="dxa"/>
          </w:tcPr>
          <w:p w14:paraId="55E224B5" w14:textId="77777777" w:rsidR="00324B7F" w:rsidRDefault="00000000">
            <w:pPr>
              <w:spacing w:before="40" w:after="40"/>
            </w:pPr>
            <w:r>
              <w:rPr>
                <w:rFonts w:ascii="Calibri" w:hAnsi="Calibri"/>
                <w:color w:val="0F172A"/>
                <w:sz w:val="18"/>
              </w:rPr>
              <w:t>46.2 Years</w:t>
            </w:r>
          </w:p>
        </w:tc>
        <w:tc>
          <w:tcPr>
            <w:tcW w:w="1843" w:type="dxa"/>
          </w:tcPr>
          <w:p w14:paraId="5FA71229" w14:textId="77777777" w:rsidR="00324B7F" w:rsidRDefault="00000000">
            <w:pPr>
              <w:spacing w:before="40" w:after="40"/>
            </w:pPr>
            <w:r>
              <w:rPr>
                <w:rFonts w:ascii="Calibri" w:hAnsi="Calibri"/>
                <w:color w:val="0F172A"/>
                <w:sz w:val="18"/>
              </w:rPr>
              <w:t>48.4 Years (#2 Oldest Globally)</w:t>
            </w:r>
          </w:p>
        </w:tc>
        <w:tc>
          <w:tcPr>
            <w:tcW w:w="1559" w:type="dxa"/>
          </w:tcPr>
          <w:p w14:paraId="2770AA01" w14:textId="77777777" w:rsidR="00324B7F" w:rsidRDefault="00000000">
            <w:pPr>
              <w:spacing w:before="40" w:after="40"/>
            </w:pPr>
            <w:r>
              <w:rPr>
                <w:rFonts w:ascii="Calibri" w:hAnsi="Calibri"/>
                <w:color w:val="0F172A"/>
                <w:sz w:val="18"/>
              </w:rPr>
              <w:t>44.5 Years</w:t>
            </w:r>
          </w:p>
        </w:tc>
        <w:tc>
          <w:tcPr>
            <w:tcW w:w="1276" w:type="dxa"/>
          </w:tcPr>
          <w:p w14:paraId="2836AC8D" w14:textId="77777777" w:rsidR="00324B7F" w:rsidRDefault="00000000">
            <w:pPr>
              <w:spacing w:before="40" w:after="40"/>
            </w:pPr>
            <w:r>
              <w:rPr>
                <w:rFonts w:ascii="Calibri" w:hAnsi="Calibri"/>
                <w:color w:val="0F172A"/>
                <w:sz w:val="18"/>
              </w:rPr>
              <w:t>28.5 Years</w:t>
            </w:r>
          </w:p>
        </w:tc>
        <w:tc>
          <w:tcPr>
            <w:tcW w:w="2331" w:type="dxa"/>
          </w:tcPr>
          <w:p w14:paraId="54865BF0" w14:textId="77777777" w:rsidR="00324B7F" w:rsidRDefault="00000000">
            <w:pPr>
              <w:spacing w:before="40" w:after="40"/>
            </w:pPr>
            <w:r>
              <w:rPr>
                <w:rFonts w:ascii="Calibri" w:hAnsi="Calibri"/>
                <w:color w:val="0F172A"/>
                <w:sz w:val="18"/>
              </w:rPr>
              <w:t>Europe has an aging, retiring workforce; India holds the world's largest STEM youth dividend.</w:t>
            </w:r>
          </w:p>
        </w:tc>
      </w:tr>
      <w:tr w:rsidR="00324B7F" w14:paraId="6C47128B" w14:textId="77777777" w:rsidTr="0098272F">
        <w:trPr>
          <w:jc w:val="center"/>
        </w:trPr>
        <w:tc>
          <w:tcPr>
            <w:tcW w:w="1656" w:type="dxa"/>
          </w:tcPr>
          <w:p w14:paraId="2EAD1C05" w14:textId="77777777" w:rsidR="00324B7F" w:rsidRDefault="00000000">
            <w:pPr>
              <w:spacing w:before="40" w:after="40"/>
            </w:pPr>
            <w:r>
              <w:rPr>
                <w:rFonts w:ascii="Calibri" w:hAnsi="Calibri"/>
                <w:color w:val="0F172A"/>
                <w:sz w:val="18"/>
              </w:rPr>
              <w:t>Workforce Aged 50+ Years</w:t>
            </w:r>
          </w:p>
        </w:tc>
        <w:tc>
          <w:tcPr>
            <w:tcW w:w="1271" w:type="dxa"/>
          </w:tcPr>
          <w:p w14:paraId="4218A583" w14:textId="77777777" w:rsidR="00324B7F" w:rsidRDefault="00000000">
            <w:pPr>
              <w:spacing w:before="40" w:after="40"/>
            </w:pPr>
            <w:r>
              <w:rPr>
                <w:rFonts w:ascii="Calibri" w:hAnsi="Calibri"/>
                <w:color w:val="0F172A"/>
                <w:sz w:val="18"/>
              </w:rPr>
              <w:t>31.4%</w:t>
            </w:r>
          </w:p>
        </w:tc>
        <w:tc>
          <w:tcPr>
            <w:tcW w:w="1843" w:type="dxa"/>
          </w:tcPr>
          <w:p w14:paraId="4692672F" w14:textId="77777777" w:rsidR="00324B7F" w:rsidRDefault="00000000">
            <w:pPr>
              <w:spacing w:before="40" w:after="40"/>
            </w:pPr>
            <w:r>
              <w:rPr>
                <w:rFonts w:ascii="Calibri" w:hAnsi="Calibri"/>
                <w:color w:val="0F172A"/>
                <w:sz w:val="18"/>
              </w:rPr>
              <w:t>34.8%</w:t>
            </w:r>
          </w:p>
        </w:tc>
        <w:tc>
          <w:tcPr>
            <w:tcW w:w="1559" w:type="dxa"/>
          </w:tcPr>
          <w:p w14:paraId="798D52AF" w14:textId="77777777" w:rsidR="00324B7F" w:rsidRDefault="00000000">
            <w:pPr>
              <w:spacing w:before="40" w:after="40"/>
            </w:pPr>
            <w:r>
              <w:rPr>
                <w:rFonts w:ascii="Calibri" w:hAnsi="Calibri"/>
                <w:color w:val="0F172A"/>
                <w:sz w:val="18"/>
              </w:rPr>
              <w:t>30.2%</w:t>
            </w:r>
          </w:p>
        </w:tc>
        <w:tc>
          <w:tcPr>
            <w:tcW w:w="1276" w:type="dxa"/>
          </w:tcPr>
          <w:p w14:paraId="3DA9F0E5" w14:textId="77777777" w:rsidR="00324B7F" w:rsidRDefault="00000000">
            <w:pPr>
              <w:spacing w:before="40" w:after="40"/>
            </w:pPr>
            <w:r>
              <w:rPr>
                <w:rFonts w:ascii="Calibri" w:hAnsi="Calibri"/>
                <w:color w:val="0F172A"/>
                <w:sz w:val="18"/>
              </w:rPr>
              <w:t>&amp;lt; 14.0%</w:t>
            </w:r>
          </w:p>
        </w:tc>
        <w:tc>
          <w:tcPr>
            <w:tcW w:w="2331" w:type="dxa"/>
          </w:tcPr>
          <w:p w14:paraId="3B8B5BA1" w14:textId="77777777" w:rsidR="00324B7F" w:rsidRDefault="00000000">
            <w:pPr>
              <w:spacing w:before="40" w:after="40"/>
            </w:pPr>
            <w:r>
              <w:rPr>
                <w:rFonts w:ascii="Calibri" w:hAnsi="Calibri"/>
                <w:color w:val="0F172A"/>
                <w:sz w:val="18"/>
              </w:rPr>
              <w:t>The "Baby Boomer Cliff": Massive retirements across German/Italian industrial corridors by 2032.</w:t>
            </w:r>
          </w:p>
        </w:tc>
      </w:tr>
      <w:tr w:rsidR="00324B7F" w14:paraId="2536ECFC" w14:textId="77777777" w:rsidTr="0098272F">
        <w:trPr>
          <w:jc w:val="center"/>
        </w:trPr>
        <w:tc>
          <w:tcPr>
            <w:tcW w:w="1656" w:type="dxa"/>
          </w:tcPr>
          <w:p w14:paraId="7D9F3D47" w14:textId="77777777" w:rsidR="00324B7F" w:rsidRDefault="00000000">
            <w:pPr>
              <w:spacing w:before="40" w:after="40"/>
            </w:pPr>
            <w:r>
              <w:rPr>
                <w:rFonts w:ascii="Calibri" w:hAnsi="Calibri"/>
                <w:color w:val="0F172A"/>
                <w:sz w:val="18"/>
              </w:rPr>
              <w:t>Old-Age Dependency Ratio</w:t>
            </w:r>
          </w:p>
        </w:tc>
        <w:tc>
          <w:tcPr>
            <w:tcW w:w="1271" w:type="dxa"/>
          </w:tcPr>
          <w:p w14:paraId="60FEC474" w14:textId="77777777" w:rsidR="00324B7F" w:rsidRDefault="00000000">
            <w:pPr>
              <w:spacing w:before="40" w:after="40"/>
            </w:pPr>
            <w:r>
              <w:rPr>
                <w:rFonts w:ascii="Calibri" w:hAnsi="Calibri"/>
                <w:color w:val="0F172A"/>
                <w:sz w:val="18"/>
              </w:rPr>
              <w:t>31.2% (Rising to 44% by 2035)</w:t>
            </w:r>
          </w:p>
        </w:tc>
        <w:tc>
          <w:tcPr>
            <w:tcW w:w="1843" w:type="dxa"/>
          </w:tcPr>
          <w:p w14:paraId="28C37321" w14:textId="77777777" w:rsidR="00324B7F" w:rsidRDefault="00000000">
            <w:pPr>
              <w:spacing w:before="40" w:after="40"/>
            </w:pPr>
            <w:r>
              <w:rPr>
                <w:rFonts w:ascii="Calibri" w:hAnsi="Calibri"/>
                <w:color w:val="0F172A"/>
                <w:sz w:val="18"/>
              </w:rPr>
              <w:t>37.5% (Rising to 52% by 2035)</w:t>
            </w:r>
          </w:p>
        </w:tc>
        <w:tc>
          <w:tcPr>
            <w:tcW w:w="1559" w:type="dxa"/>
          </w:tcPr>
          <w:p w14:paraId="6D247C6C" w14:textId="77777777" w:rsidR="00324B7F" w:rsidRDefault="00000000">
            <w:pPr>
              <w:spacing w:before="40" w:after="40"/>
            </w:pPr>
            <w:r>
              <w:rPr>
                <w:rFonts w:ascii="Calibri" w:hAnsi="Calibri"/>
                <w:color w:val="0F172A"/>
                <w:sz w:val="18"/>
              </w:rPr>
              <w:t>33.0%</w:t>
            </w:r>
          </w:p>
        </w:tc>
        <w:tc>
          <w:tcPr>
            <w:tcW w:w="1276" w:type="dxa"/>
          </w:tcPr>
          <w:p w14:paraId="2BC6275C" w14:textId="77777777" w:rsidR="00324B7F" w:rsidRDefault="00000000">
            <w:pPr>
              <w:spacing w:before="40" w:after="40"/>
            </w:pPr>
            <w:r>
              <w:rPr>
                <w:rFonts w:ascii="Calibri" w:hAnsi="Calibri"/>
                <w:color w:val="0F172A"/>
                <w:sz w:val="18"/>
              </w:rPr>
              <w:t>15.7%</w:t>
            </w:r>
          </w:p>
        </w:tc>
        <w:tc>
          <w:tcPr>
            <w:tcW w:w="2331" w:type="dxa"/>
          </w:tcPr>
          <w:p w14:paraId="6BE0AC17" w14:textId="77777777" w:rsidR="00324B7F" w:rsidRDefault="00000000">
            <w:pPr>
              <w:spacing w:before="40" w:after="40"/>
            </w:pPr>
            <w:r>
              <w:rPr>
                <w:rFonts w:ascii="Calibri" w:hAnsi="Calibri"/>
                <w:color w:val="0F172A"/>
                <w:sz w:val="18"/>
              </w:rPr>
              <w:t>Europe is approaching a critical 2:1 worker-to-pensioner ratio, threatening state pension solvency.</w:t>
            </w:r>
          </w:p>
        </w:tc>
      </w:tr>
      <w:tr w:rsidR="00324B7F" w14:paraId="5770310F" w14:textId="77777777" w:rsidTr="0098272F">
        <w:trPr>
          <w:jc w:val="center"/>
        </w:trPr>
        <w:tc>
          <w:tcPr>
            <w:tcW w:w="1656" w:type="dxa"/>
          </w:tcPr>
          <w:p w14:paraId="472E587D" w14:textId="77777777" w:rsidR="00324B7F" w:rsidRDefault="00000000">
            <w:pPr>
              <w:spacing w:before="40" w:after="40"/>
            </w:pPr>
            <w:r>
              <w:rPr>
                <w:rFonts w:ascii="Calibri" w:hAnsi="Calibri"/>
                <w:color w:val="0F172A"/>
                <w:sz w:val="18"/>
              </w:rPr>
              <w:t>Unfilled Skilled Vacancies</w:t>
            </w:r>
          </w:p>
        </w:tc>
        <w:tc>
          <w:tcPr>
            <w:tcW w:w="1271" w:type="dxa"/>
          </w:tcPr>
          <w:p w14:paraId="58057E30" w14:textId="77777777" w:rsidR="00324B7F" w:rsidRDefault="00000000">
            <w:pPr>
              <w:spacing w:before="40" w:after="40"/>
            </w:pPr>
            <w:r>
              <w:rPr>
                <w:rFonts w:ascii="Calibri" w:hAnsi="Calibri"/>
                <w:color w:val="0F172A"/>
                <w:sz w:val="18"/>
              </w:rPr>
              <w:t>1.8 Million+</w:t>
            </w:r>
          </w:p>
        </w:tc>
        <w:tc>
          <w:tcPr>
            <w:tcW w:w="1843" w:type="dxa"/>
          </w:tcPr>
          <w:p w14:paraId="65C6DBEA" w14:textId="77777777" w:rsidR="00324B7F" w:rsidRDefault="00000000">
            <w:pPr>
              <w:spacing w:before="40" w:after="40"/>
            </w:pPr>
            <w:r>
              <w:rPr>
                <w:rFonts w:ascii="Calibri" w:hAnsi="Calibri"/>
                <w:color w:val="0F172A"/>
                <w:sz w:val="18"/>
              </w:rPr>
              <w:t>560,000+</w:t>
            </w:r>
          </w:p>
        </w:tc>
        <w:tc>
          <w:tcPr>
            <w:tcW w:w="1559" w:type="dxa"/>
          </w:tcPr>
          <w:p w14:paraId="18EF901A" w14:textId="77777777" w:rsidR="00324B7F" w:rsidRDefault="00000000">
            <w:pPr>
              <w:spacing w:before="40" w:after="40"/>
            </w:pPr>
            <w:r>
              <w:rPr>
                <w:rFonts w:ascii="Calibri" w:hAnsi="Calibri"/>
                <w:color w:val="0F172A"/>
                <w:sz w:val="18"/>
              </w:rPr>
              <w:t>3.8 Million+</w:t>
            </w:r>
          </w:p>
        </w:tc>
        <w:tc>
          <w:tcPr>
            <w:tcW w:w="1276" w:type="dxa"/>
          </w:tcPr>
          <w:p w14:paraId="39780518" w14:textId="77777777" w:rsidR="00324B7F" w:rsidRDefault="00000000">
            <w:pPr>
              <w:spacing w:before="40" w:after="40"/>
            </w:pPr>
            <w:r>
              <w:rPr>
                <w:rFonts w:ascii="Calibri" w:hAnsi="Calibri"/>
                <w:color w:val="0F172A"/>
                <w:sz w:val="18"/>
              </w:rPr>
              <w:t>-</w:t>
            </w:r>
          </w:p>
        </w:tc>
        <w:tc>
          <w:tcPr>
            <w:tcW w:w="2331" w:type="dxa"/>
          </w:tcPr>
          <w:p w14:paraId="4C6846C7" w14:textId="77777777" w:rsidR="00324B7F" w:rsidRDefault="00000000">
            <w:pPr>
              <w:spacing w:before="40" w:after="40"/>
            </w:pPr>
            <w:r>
              <w:rPr>
                <w:rFonts w:ascii="Calibri" w:hAnsi="Calibri"/>
                <w:color w:val="0F172A"/>
                <w:sz w:val="18"/>
              </w:rPr>
              <w:t>Acute Fachkräftemangel (skills shortage) halting factory expansions in automation, EV, and AI.</w:t>
            </w:r>
          </w:p>
        </w:tc>
      </w:tr>
      <w:tr w:rsidR="00324B7F" w14:paraId="59EF82AA" w14:textId="77777777" w:rsidTr="0098272F">
        <w:trPr>
          <w:jc w:val="center"/>
        </w:trPr>
        <w:tc>
          <w:tcPr>
            <w:tcW w:w="1656" w:type="dxa"/>
          </w:tcPr>
          <w:p w14:paraId="0616F474" w14:textId="77777777" w:rsidR="00324B7F" w:rsidRDefault="00000000">
            <w:pPr>
              <w:spacing w:before="40" w:after="40"/>
            </w:pPr>
            <w:r>
              <w:rPr>
                <w:rFonts w:ascii="Calibri" w:hAnsi="Calibri"/>
                <w:color w:val="0F172A"/>
                <w:sz w:val="18"/>
              </w:rPr>
              <w:t>Statutory Net Immigrant Need</w:t>
            </w:r>
          </w:p>
        </w:tc>
        <w:tc>
          <w:tcPr>
            <w:tcW w:w="1271" w:type="dxa"/>
          </w:tcPr>
          <w:p w14:paraId="39ACBE1D" w14:textId="77777777" w:rsidR="00324B7F" w:rsidRDefault="00000000">
            <w:pPr>
              <w:spacing w:before="40" w:after="40"/>
            </w:pPr>
            <w:r>
              <w:rPr>
                <w:rFonts w:ascii="Calibri" w:hAnsi="Calibri"/>
                <w:color w:val="0F172A"/>
                <w:sz w:val="18"/>
              </w:rPr>
              <w:t>400,000 / Year</w:t>
            </w:r>
          </w:p>
        </w:tc>
        <w:tc>
          <w:tcPr>
            <w:tcW w:w="1843" w:type="dxa"/>
          </w:tcPr>
          <w:p w14:paraId="33062C50" w14:textId="77777777" w:rsidR="00324B7F" w:rsidRDefault="00000000">
            <w:pPr>
              <w:spacing w:before="40" w:after="40"/>
            </w:pPr>
            <w:r>
              <w:rPr>
                <w:rFonts w:ascii="Calibri" w:hAnsi="Calibri"/>
                <w:color w:val="0F172A"/>
                <w:sz w:val="18"/>
              </w:rPr>
              <w:t>150,000 / Year</w:t>
            </w:r>
          </w:p>
        </w:tc>
        <w:tc>
          <w:tcPr>
            <w:tcW w:w="1559" w:type="dxa"/>
          </w:tcPr>
          <w:p w14:paraId="0EDEC15F" w14:textId="77777777" w:rsidR="00324B7F" w:rsidRDefault="00000000">
            <w:pPr>
              <w:spacing w:before="40" w:after="40"/>
            </w:pPr>
            <w:r>
              <w:rPr>
                <w:rFonts w:ascii="Calibri" w:hAnsi="Calibri"/>
                <w:color w:val="0F172A"/>
                <w:sz w:val="18"/>
              </w:rPr>
              <w:t>1.2 Million / Year</w:t>
            </w:r>
          </w:p>
        </w:tc>
        <w:tc>
          <w:tcPr>
            <w:tcW w:w="1276" w:type="dxa"/>
          </w:tcPr>
          <w:p w14:paraId="12AD17DB" w14:textId="77777777" w:rsidR="00324B7F" w:rsidRDefault="00000000">
            <w:pPr>
              <w:spacing w:before="40" w:after="40"/>
            </w:pPr>
            <w:r>
              <w:rPr>
                <w:rFonts w:ascii="Calibri" w:hAnsi="Calibri"/>
                <w:color w:val="0F172A"/>
                <w:sz w:val="18"/>
              </w:rPr>
              <w:t>-</w:t>
            </w:r>
          </w:p>
        </w:tc>
        <w:tc>
          <w:tcPr>
            <w:tcW w:w="2331" w:type="dxa"/>
          </w:tcPr>
          <w:p w14:paraId="1578E4D5" w14:textId="77777777" w:rsidR="00324B7F" w:rsidRDefault="00000000">
            <w:pPr>
              <w:spacing w:before="40" w:after="40"/>
            </w:pPr>
            <w:r>
              <w:rPr>
                <w:rFonts w:ascii="Calibri" w:hAnsi="Calibri"/>
                <w:color w:val="0F172A"/>
                <w:sz w:val="18"/>
              </w:rPr>
              <w:t>Legally mandated annual workforce replacement quotas approved by the German Bundestag.</w:t>
            </w:r>
          </w:p>
        </w:tc>
      </w:tr>
    </w:tbl>
    <w:p w14:paraId="547491F1" w14:textId="6945DEF7" w:rsidR="00324B7F" w:rsidRDefault="00324B7F">
      <w:pPr>
        <w:spacing w:before="40" w:after="120"/>
      </w:pPr>
    </w:p>
    <w:p w14:paraId="170FB0C1" w14:textId="77777777" w:rsidR="00324B7F" w:rsidRDefault="00000000">
      <w:pPr>
        <w:spacing w:before="320" w:after="120"/>
      </w:pPr>
      <w:r>
        <w:rPr>
          <w:rFonts w:ascii="Calibri" w:hAnsi="Calibri"/>
          <w:b/>
          <w:color w:val="0F766E"/>
          <w:sz w:val="27"/>
        </w:rPr>
        <w:t>2. The Sovereign Pension Solvency Equation: Why Europe Must Import Taxpayers</w:t>
      </w:r>
    </w:p>
    <w:p w14:paraId="4FFCACA9" w14:textId="77777777" w:rsidR="00324B7F" w:rsidRDefault="00000000">
      <w:pPr>
        <w:spacing w:before="40" w:after="120"/>
      </w:pPr>
      <w:r>
        <w:rPr>
          <w:rFonts w:ascii="Calibri" w:hAnsi="Calibri"/>
          <w:color w:val="0F172A"/>
          <w:sz w:val="20"/>
        </w:rPr>
        <w:t>To understand why German public universities charge €0 tuition fees and why Italian regions disburse €8,500 annual cash stipends (DSU) to international students, one must analyze the mathematical mechanics of Europe's pay-as-you-go (Umlageverfahren) social security system.</w:t>
      </w:r>
    </w:p>
    <w:p w14:paraId="2B78B35A" w14:textId="77777777" w:rsidR="00324B7F" w:rsidRDefault="00000000">
      <w:pPr>
        <w:spacing w:before="240" w:after="80"/>
      </w:pPr>
      <w:r>
        <w:rPr>
          <w:rFonts w:ascii="Calibri" w:hAnsi="Calibri"/>
          <w:b/>
          <w:color w:val="0F172A"/>
          <w:sz w:val="23"/>
        </w:rPr>
        <w:t>The Old-Age Dependency Ratio Formula</w:t>
      </w:r>
    </w:p>
    <w:p w14:paraId="50854302" w14:textId="77777777" w:rsidR="00324B7F" w:rsidRDefault="00000000">
      <w:pPr>
        <w:spacing w:before="40" w:after="120"/>
      </w:pPr>
      <w:r>
        <w:rPr>
          <w:rFonts w:ascii="Calibri" w:hAnsi="Calibri"/>
          <w:color w:val="0F172A"/>
          <w:sz w:val="20"/>
        </w:rPr>
        <w:t>European state pension systems rely on the Old-Age Dependency Ratio ($OADR$):</w:t>
      </w:r>
    </w:p>
    <w:p w14:paraId="2368903A" w14:textId="77777777" w:rsidR="00324B7F" w:rsidRDefault="00000000">
      <w:pPr>
        <w:spacing w:before="40" w:after="120"/>
      </w:pPr>
      <w:r>
        <w:rPr>
          <w:rFonts w:ascii="Calibri" w:hAnsi="Calibri"/>
          <w:color w:val="0F172A"/>
          <w:sz w:val="20"/>
        </w:rPr>
        <w:t>$$\text{OADR} = \left( \frac{\text{Population Aged } 65+}{\text{Working-Age Population (15–64)}} \right) \times 100$$</w:t>
      </w:r>
    </w:p>
    <w:p w14:paraId="7D71B524" w14:textId="77777777" w:rsidR="00324B7F" w:rsidRDefault="00000000">
      <w:pPr>
        <w:spacing w:before="40" w:after="120"/>
      </w:pPr>
      <w:r>
        <w:rPr>
          <w:rFonts w:ascii="Calibri" w:hAnsi="Calibri"/>
          <w:color w:val="0F172A"/>
          <w:sz w:val="20"/>
        </w:rPr>
        <w:t>In 1960, Germany operated with 6 active working taxpayers for every 1 pensioner. In 2026, that ratio has collapsed to 2.1 active workers per pensioner, and by 2035 it will breach 1.8 to 1.</w:t>
      </w:r>
    </w:p>
    <w:p w14:paraId="0E3F2F80" w14:textId="283949F6" w:rsidR="00324B7F" w:rsidRDefault="00000000">
      <w:pPr>
        <w:spacing w:before="240" w:after="80"/>
      </w:pPr>
      <w:r>
        <w:rPr>
          <w:rFonts w:ascii="Calibri" w:hAnsi="Calibri"/>
          <w:b/>
          <w:color w:val="0F172A"/>
          <w:sz w:val="23"/>
        </w:rPr>
        <w:t xml:space="preserve"> The Statutory Pension Deficit Risk</w:t>
      </w:r>
    </w:p>
    <w:p w14:paraId="290DFA13" w14:textId="77777777" w:rsidR="00324B7F" w:rsidRDefault="00000000">
      <w:pPr>
        <w:spacing w:before="40" w:after="120"/>
      </w:pPr>
      <w:r>
        <w:rPr>
          <w:rFonts w:ascii="Calibri" w:hAnsi="Calibri"/>
          <w:color w:val="0F172A"/>
          <w:sz w:val="20"/>
        </w:rPr>
        <w:t>Under Germany's Gesetzliche Rentenversicherung (Statutory Pension Insurance), the pension benefits of today's retirees are paid directly from the mandatory payroll contributions (18.6% of gross salary) deducted from active workers.</w:t>
      </w:r>
    </w:p>
    <w:p w14:paraId="183F63B3" w14:textId="77777777" w:rsidR="00324B7F" w:rsidRDefault="00000000">
      <w:pPr>
        <w:spacing w:before="40" w:after="120"/>
      </w:pPr>
      <w:r>
        <w:rPr>
          <w:rFonts w:ascii="Calibri" w:hAnsi="Calibri"/>
          <w:color w:val="0F172A"/>
          <w:sz w:val="20"/>
        </w:rPr>
        <w:t>If Germany's active working-age cohort contracts by 5 million workers over the next decade due to baby-boomer retirements:</w:t>
      </w:r>
    </w:p>
    <w:p w14:paraId="52E097BA" w14:textId="77777777" w:rsidR="00324B7F" w:rsidRDefault="00000000">
      <w:pPr>
        <w:spacing w:before="40" w:after="120"/>
      </w:pPr>
      <w:r>
        <w:rPr>
          <w:rFonts w:ascii="Calibri" w:hAnsi="Calibri"/>
          <w:color w:val="0F172A"/>
          <w:sz w:val="20"/>
        </w:rPr>
        <w:t>1. Pension contribution revenues collapse.</w:t>
      </w:r>
    </w:p>
    <w:p w14:paraId="0D29A246" w14:textId="77777777" w:rsidR="00324B7F" w:rsidRDefault="00000000">
      <w:pPr>
        <w:spacing w:before="40" w:after="120"/>
      </w:pPr>
      <w:r>
        <w:rPr>
          <w:rFonts w:ascii="Calibri" w:hAnsi="Calibri"/>
          <w:color w:val="0F172A"/>
          <w:sz w:val="20"/>
        </w:rPr>
        <w:t>2. The federal government would be forced to allocate over 30% of its total federal budget (Bundeshaushalt) solely to subsidize pension shortfalls.</w:t>
      </w:r>
    </w:p>
    <w:p w14:paraId="114319E5" w14:textId="77777777" w:rsidR="00324B7F" w:rsidRDefault="00000000">
      <w:pPr>
        <w:spacing w:before="40" w:after="120"/>
      </w:pPr>
      <w:r>
        <w:rPr>
          <w:rFonts w:ascii="Calibri" w:hAnsi="Calibri"/>
          <w:color w:val="0F172A"/>
          <w:sz w:val="20"/>
        </w:rPr>
        <w:t>3. Domestic industrial giants (BMW, Siemens, Bosch, SAP, BASF) would face structural labor bottlenecks, forcing capital flight to other jurisdictions.</w:t>
      </w:r>
    </w:p>
    <w:p w14:paraId="56451E16" w14:textId="77777777" w:rsidR="00324B7F" w:rsidRDefault="00000000">
      <w:pPr>
        <w:spacing w:before="40" w:after="120"/>
      </w:pPr>
      <w:r>
        <w:rPr>
          <w:rFonts w:ascii="Calibri" w:hAnsi="Calibri"/>
          <w:color w:val="0F172A"/>
          <w:sz w:val="20"/>
        </w:rPr>
        <w:t>The Economic Solution: The German Federal Employment Agency (Bundesagentur für Arbeit) has formally modeled that Germany requires a minimum net influx of 400,000 young, university-educated, tax-paying professionals every single year to stabilize its dependency ratio and preserve economic growth.</w:t>
      </w:r>
    </w:p>
    <w:p w14:paraId="34A01F2A" w14:textId="0FF69D65" w:rsidR="00324B7F" w:rsidRDefault="00324B7F">
      <w:pPr>
        <w:spacing w:before="40" w:after="120"/>
      </w:pPr>
    </w:p>
    <w:p w14:paraId="7DD85AAE" w14:textId="77777777" w:rsidR="00324B7F" w:rsidRDefault="00000000">
      <w:pPr>
        <w:spacing w:before="320" w:after="120"/>
      </w:pPr>
      <w:r>
        <w:rPr>
          <w:rFonts w:ascii="Calibri" w:hAnsi="Calibri"/>
          <w:b/>
          <w:color w:val="0F766E"/>
          <w:sz w:val="27"/>
        </w:rPr>
        <w:t>3. The Human Capital Acquisition Arbitrage: €20,000 vs. €250,000</w:t>
      </w:r>
    </w:p>
    <w:p w14:paraId="701BCFE7" w14:textId="77777777" w:rsidR="00324B7F" w:rsidRDefault="00000000">
      <w:pPr>
        <w:spacing w:before="40" w:after="120"/>
      </w:pPr>
      <w:r>
        <w:rPr>
          <w:rFonts w:ascii="Calibri" w:hAnsi="Calibri"/>
          <w:color w:val="0F172A"/>
          <w:sz w:val="20"/>
        </w:rPr>
        <w:t>Many Indian parents ask: "Why would the German or Italian government allow international students to study in world-class public universities for zero tuition?"</w:t>
      </w:r>
    </w:p>
    <w:p w14:paraId="7603B325" w14:textId="77777777" w:rsidR="00324B7F" w:rsidRDefault="00000000">
      <w:pPr>
        <w:spacing w:before="40" w:after="120"/>
      </w:pPr>
      <w:r>
        <w:rPr>
          <w:rFonts w:ascii="Calibri" w:hAnsi="Calibri"/>
          <w:color w:val="0F172A"/>
          <w:sz w:val="20"/>
        </w:rPr>
        <w:t>The answer lies in Human Capital Acquisition Arbitrage.</w:t>
      </w:r>
    </w:p>
    <w:p w14:paraId="06FC97BE" w14:textId="0300E5B1" w:rsidR="00324B7F" w:rsidRDefault="00000000">
      <w:pPr>
        <w:spacing w:before="240" w:after="80"/>
      </w:pPr>
      <w:r>
        <w:rPr>
          <w:rFonts w:ascii="Calibri" w:hAnsi="Calibri"/>
          <w:b/>
          <w:color w:val="0F172A"/>
          <w:sz w:val="23"/>
        </w:rPr>
        <w:t xml:space="preserve"> Sovereign Cost-Benefit Economics: Domestic Child vs. International Graduate</w:t>
      </w:r>
    </w:p>
    <w:tbl>
      <w:tblPr>
        <w:tblW w:w="0" w:type="auto"/>
        <w:jc w:val="center"/>
        <w:tblLayout w:type="fixed"/>
        <w:tblLook w:val="04A0" w:firstRow="1" w:lastRow="0" w:firstColumn="1" w:lastColumn="0" w:noHBand="0" w:noVBand="1"/>
      </w:tblPr>
      <w:tblGrid>
        <w:gridCol w:w="3312"/>
        <w:gridCol w:w="3312"/>
        <w:gridCol w:w="3312"/>
      </w:tblGrid>
      <w:tr w:rsidR="00324B7F" w14:paraId="58ADEFB3" w14:textId="77777777">
        <w:trPr>
          <w:jc w:val="center"/>
        </w:trPr>
        <w:tc>
          <w:tcPr>
            <w:tcW w:w="3312" w:type="dxa"/>
            <w:shd w:val="clear" w:color="auto" w:fill="0F172A"/>
          </w:tcPr>
          <w:p w14:paraId="23560CE5" w14:textId="77777777" w:rsidR="00324B7F" w:rsidRDefault="00000000">
            <w:pPr>
              <w:spacing w:before="40" w:after="40"/>
            </w:pPr>
            <w:r>
              <w:rPr>
                <w:rFonts w:ascii="Calibri" w:hAnsi="Calibri"/>
                <w:b/>
                <w:color w:val="FFFFFF"/>
                <w:sz w:val="18"/>
              </w:rPr>
              <w:t>Capital Expenditure Component</w:t>
            </w:r>
          </w:p>
        </w:tc>
        <w:tc>
          <w:tcPr>
            <w:tcW w:w="3312" w:type="dxa"/>
            <w:shd w:val="clear" w:color="auto" w:fill="0F172A"/>
          </w:tcPr>
          <w:p w14:paraId="373981DC" w14:textId="77777777" w:rsidR="00324B7F" w:rsidRDefault="00000000">
            <w:pPr>
              <w:spacing w:before="40" w:after="40"/>
            </w:pPr>
            <w:r>
              <w:rPr>
                <w:rFonts w:ascii="Calibri" w:hAnsi="Calibri"/>
                <w:b/>
                <w:color w:val="FFFFFF"/>
                <w:sz w:val="18"/>
              </w:rPr>
              <w:t>Domestic European Citizen (Birth to Master's)</w:t>
            </w:r>
          </w:p>
        </w:tc>
        <w:tc>
          <w:tcPr>
            <w:tcW w:w="3312" w:type="dxa"/>
            <w:shd w:val="clear" w:color="auto" w:fill="0F172A"/>
          </w:tcPr>
          <w:p w14:paraId="3437B881" w14:textId="77777777" w:rsidR="00324B7F" w:rsidRDefault="00000000">
            <w:pPr>
              <w:spacing w:before="40" w:after="40"/>
            </w:pPr>
            <w:r>
              <w:rPr>
                <w:rFonts w:ascii="Calibri" w:hAnsi="Calibri"/>
                <w:b/>
                <w:color w:val="FFFFFF"/>
                <w:sz w:val="18"/>
              </w:rPr>
              <w:t>International Indian Graduate (Zero-Tuition Master's)</w:t>
            </w:r>
          </w:p>
        </w:tc>
      </w:tr>
      <w:tr w:rsidR="00324B7F" w14:paraId="28B7ED5F" w14:textId="77777777">
        <w:trPr>
          <w:jc w:val="center"/>
        </w:trPr>
        <w:tc>
          <w:tcPr>
            <w:tcW w:w="3312" w:type="dxa"/>
          </w:tcPr>
          <w:p w14:paraId="23D180C4" w14:textId="77777777" w:rsidR="00324B7F" w:rsidRDefault="00000000">
            <w:pPr>
              <w:spacing w:before="40" w:after="40"/>
            </w:pPr>
            <w:r>
              <w:rPr>
                <w:rFonts w:ascii="Calibri" w:hAnsi="Calibri"/>
                <w:color w:val="0F172A"/>
                <w:sz w:val="18"/>
              </w:rPr>
              <w:t>State Childcare &amp; Primary Schooling</w:t>
            </w:r>
          </w:p>
        </w:tc>
        <w:tc>
          <w:tcPr>
            <w:tcW w:w="3312" w:type="dxa"/>
          </w:tcPr>
          <w:p w14:paraId="3745B7C5" w14:textId="77777777" w:rsidR="00324B7F" w:rsidRDefault="00000000">
            <w:pPr>
              <w:spacing w:before="40" w:after="40"/>
            </w:pPr>
            <w:r>
              <w:rPr>
                <w:rFonts w:ascii="Calibri" w:hAnsi="Calibri"/>
                <w:color w:val="0F172A"/>
                <w:sz w:val="18"/>
              </w:rPr>
              <w:t>€85,000 (Municipal &amp; state budget)</w:t>
            </w:r>
          </w:p>
        </w:tc>
        <w:tc>
          <w:tcPr>
            <w:tcW w:w="3312" w:type="dxa"/>
          </w:tcPr>
          <w:p w14:paraId="08A7CEDF" w14:textId="77777777" w:rsidR="00324B7F" w:rsidRDefault="00000000">
            <w:pPr>
              <w:spacing w:before="40" w:after="40"/>
            </w:pPr>
            <w:r>
              <w:rPr>
                <w:rFonts w:ascii="Calibri" w:hAnsi="Calibri"/>
                <w:color w:val="0F172A"/>
                <w:sz w:val="18"/>
              </w:rPr>
              <w:t>€0 (Absorbed by Indian family)</w:t>
            </w:r>
          </w:p>
        </w:tc>
      </w:tr>
      <w:tr w:rsidR="00324B7F" w14:paraId="725147B1" w14:textId="77777777">
        <w:trPr>
          <w:jc w:val="center"/>
        </w:trPr>
        <w:tc>
          <w:tcPr>
            <w:tcW w:w="3312" w:type="dxa"/>
          </w:tcPr>
          <w:p w14:paraId="331A1D5E" w14:textId="77777777" w:rsidR="00324B7F" w:rsidRDefault="00000000">
            <w:pPr>
              <w:spacing w:before="40" w:after="40"/>
            </w:pPr>
            <w:r>
              <w:rPr>
                <w:rFonts w:ascii="Calibri" w:hAnsi="Calibri"/>
                <w:color w:val="0F172A"/>
                <w:sz w:val="18"/>
              </w:rPr>
              <w:t>Secondary &amp; High School Infrastructure</w:t>
            </w:r>
          </w:p>
        </w:tc>
        <w:tc>
          <w:tcPr>
            <w:tcW w:w="3312" w:type="dxa"/>
          </w:tcPr>
          <w:p w14:paraId="0BE58069" w14:textId="77777777" w:rsidR="00324B7F" w:rsidRDefault="00000000">
            <w:pPr>
              <w:spacing w:before="40" w:after="40"/>
            </w:pPr>
            <w:r>
              <w:rPr>
                <w:rFonts w:ascii="Calibri" w:hAnsi="Calibri"/>
                <w:color w:val="0F172A"/>
                <w:sz w:val="18"/>
              </w:rPr>
              <w:t>€65,000 (State educational outlays)</w:t>
            </w:r>
          </w:p>
        </w:tc>
        <w:tc>
          <w:tcPr>
            <w:tcW w:w="3312" w:type="dxa"/>
          </w:tcPr>
          <w:p w14:paraId="7E7BE6C6" w14:textId="77777777" w:rsidR="00324B7F" w:rsidRDefault="00000000">
            <w:pPr>
              <w:spacing w:before="40" w:after="40"/>
            </w:pPr>
            <w:r>
              <w:rPr>
                <w:rFonts w:ascii="Calibri" w:hAnsi="Calibri"/>
                <w:color w:val="0F172A"/>
                <w:sz w:val="18"/>
              </w:rPr>
              <w:t>€0 (Absorbed by Indian family)</w:t>
            </w:r>
          </w:p>
        </w:tc>
      </w:tr>
      <w:tr w:rsidR="00324B7F" w14:paraId="46472222" w14:textId="77777777">
        <w:trPr>
          <w:jc w:val="center"/>
        </w:trPr>
        <w:tc>
          <w:tcPr>
            <w:tcW w:w="3312" w:type="dxa"/>
          </w:tcPr>
          <w:p w14:paraId="3338449E" w14:textId="77777777" w:rsidR="00324B7F" w:rsidRDefault="00000000">
            <w:pPr>
              <w:spacing w:before="40" w:after="40"/>
            </w:pPr>
            <w:r>
              <w:rPr>
                <w:rFonts w:ascii="Calibri" w:hAnsi="Calibri"/>
                <w:color w:val="0F172A"/>
                <w:sz w:val="18"/>
              </w:rPr>
              <w:t>State Healthcare Subsidies (Ages 0–22)</w:t>
            </w:r>
          </w:p>
        </w:tc>
        <w:tc>
          <w:tcPr>
            <w:tcW w:w="3312" w:type="dxa"/>
          </w:tcPr>
          <w:p w14:paraId="10AD29DB" w14:textId="77777777" w:rsidR="00324B7F" w:rsidRDefault="00000000">
            <w:pPr>
              <w:spacing w:before="40" w:after="40"/>
            </w:pPr>
            <w:r>
              <w:rPr>
                <w:rFonts w:ascii="Calibri" w:hAnsi="Calibri"/>
                <w:color w:val="0F172A"/>
                <w:sz w:val="18"/>
              </w:rPr>
              <w:t>€45,000 (Public health insurance outlays)</w:t>
            </w:r>
          </w:p>
        </w:tc>
        <w:tc>
          <w:tcPr>
            <w:tcW w:w="3312" w:type="dxa"/>
          </w:tcPr>
          <w:p w14:paraId="5E2B82D6" w14:textId="77777777" w:rsidR="00324B7F" w:rsidRDefault="00000000">
            <w:pPr>
              <w:spacing w:before="40" w:after="40"/>
            </w:pPr>
            <w:r>
              <w:rPr>
                <w:rFonts w:ascii="Calibri" w:hAnsi="Calibri"/>
                <w:color w:val="0F172A"/>
                <w:sz w:val="18"/>
              </w:rPr>
              <w:t>€0 (Absorbed by Indian family)</w:t>
            </w:r>
          </w:p>
        </w:tc>
      </w:tr>
      <w:tr w:rsidR="00324B7F" w14:paraId="64C23D5E" w14:textId="77777777">
        <w:trPr>
          <w:jc w:val="center"/>
        </w:trPr>
        <w:tc>
          <w:tcPr>
            <w:tcW w:w="3312" w:type="dxa"/>
          </w:tcPr>
          <w:p w14:paraId="31F55CC0" w14:textId="77777777" w:rsidR="00324B7F" w:rsidRDefault="00000000">
            <w:pPr>
              <w:spacing w:before="40" w:after="40"/>
            </w:pPr>
            <w:r>
              <w:rPr>
                <w:rFonts w:ascii="Calibri" w:hAnsi="Calibri"/>
                <w:color w:val="0F172A"/>
                <w:sz w:val="18"/>
              </w:rPr>
              <w:t>Undergraduate B.Tech / B.Sc Degree</w:t>
            </w:r>
          </w:p>
        </w:tc>
        <w:tc>
          <w:tcPr>
            <w:tcW w:w="3312" w:type="dxa"/>
          </w:tcPr>
          <w:p w14:paraId="2CF408E5" w14:textId="77777777" w:rsidR="00324B7F" w:rsidRDefault="00000000">
            <w:pPr>
              <w:spacing w:before="40" w:after="40"/>
            </w:pPr>
            <w:r>
              <w:rPr>
                <w:rFonts w:ascii="Calibri" w:hAnsi="Calibri"/>
                <w:color w:val="0F172A"/>
                <w:sz w:val="18"/>
              </w:rPr>
              <w:t>€35,000 (Public university allocation)</w:t>
            </w:r>
          </w:p>
        </w:tc>
        <w:tc>
          <w:tcPr>
            <w:tcW w:w="3312" w:type="dxa"/>
          </w:tcPr>
          <w:p w14:paraId="2905F62F" w14:textId="77777777" w:rsidR="00324B7F" w:rsidRDefault="00000000">
            <w:pPr>
              <w:spacing w:before="40" w:after="40"/>
            </w:pPr>
            <w:r>
              <w:rPr>
                <w:rFonts w:ascii="Calibri" w:hAnsi="Calibri"/>
                <w:color w:val="0F172A"/>
                <w:sz w:val="18"/>
              </w:rPr>
              <w:t>€0 (Funded by Indian household)</w:t>
            </w:r>
          </w:p>
        </w:tc>
      </w:tr>
      <w:tr w:rsidR="00324B7F" w14:paraId="639AD494" w14:textId="77777777">
        <w:trPr>
          <w:jc w:val="center"/>
        </w:trPr>
        <w:tc>
          <w:tcPr>
            <w:tcW w:w="3312" w:type="dxa"/>
          </w:tcPr>
          <w:p w14:paraId="0AB92641" w14:textId="77777777" w:rsidR="00324B7F" w:rsidRDefault="00000000">
            <w:pPr>
              <w:spacing w:before="40" w:after="40"/>
            </w:pPr>
            <w:r>
              <w:rPr>
                <w:rFonts w:ascii="Calibri" w:hAnsi="Calibri"/>
                <w:color w:val="0F172A"/>
                <w:sz w:val="18"/>
              </w:rPr>
              <w:t>2-Year Master's Degree (State Cost)</w:t>
            </w:r>
          </w:p>
        </w:tc>
        <w:tc>
          <w:tcPr>
            <w:tcW w:w="3312" w:type="dxa"/>
          </w:tcPr>
          <w:p w14:paraId="7BFD3CB0" w14:textId="77777777" w:rsidR="00324B7F" w:rsidRDefault="00000000">
            <w:pPr>
              <w:spacing w:before="40" w:after="40"/>
            </w:pPr>
            <w:r>
              <w:rPr>
                <w:rFonts w:ascii="Calibri" w:hAnsi="Calibri"/>
                <w:color w:val="0F172A"/>
                <w:sz w:val="18"/>
              </w:rPr>
              <w:t>€20,000 (University operational budget)</w:t>
            </w:r>
          </w:p>
        </w:tc>
        <w:tc>
          <w:tcPr>
            <w:tcW w:w="3312" w:type="dxa"/>
          </w:tcPr>
          <w:p w14:paraId="3D0E2B2B" w14:textId="77777777" w:rsidR="00324B7F" w:rsidRDefault="00000000">
            <w:pPr>
              <w:spacing w:before="40" w:after="40"/>
            </w:pPr>
            <w:r>
              <w:rPr>
                <w:rFonts w:ascii="Calibri" w:hAnsi="Calibri"/>
                <w:color w:val="0F172A"/>
                <w:sz w:val="18"/>
              </w:rPr>
              <w:t>€15,000 to €20,000 (Zero Tuition subsidy)</w:t>
            </w:r>
          </w:p>
        </w:tc>
      </w:tr>
      <w:tr w:rsidR="00324B7F" w14:paraId="506D8B49" w14:textId="77777777">
        <w:trPr>
          <w:jc w:val="center"/>
        </w:trPr>
        <w:tc>
          <w:tcPr>
            <w:tcW w:w="3312" w:type="dxa"/>
          </w:tcPr>
          <w:p w14:paraId="45DA284D" w14:textId="77777777" w:rsidR="00324B7F" w:rsidRDefault="00000000">
            <w:pPr>
              <w:spacing w:before="40" w:after="40"/>
            </w:pPr>
            <w:r>
              <w:rPr>
                <w:rFonts w:ascii="Calibri" w:hAnsi="Calibri"/>
                <w:color w:val="0F172A"/>
                <w:sz w:val="18"/>
              </w:rPr>
              <w:t>Total Sovereign Acquisition Cost</w:t>
            </w:r>
          </w:p>
        </w:tc>
        <w:tc>
          <w:tcPr>
            <w:tcW w:w="3312" w:type="dxa"/>
          </w:tcPr>
          <w:p w14:paraId="5D48F972" w14:textId="77777777" w:rsidR="00324B7F" w:rsidRDefault="00000000">
            <w:pPr>
              <w:spacing w:before="40" w:after="40"/>
            </w:pPr>
            <w:r>
              <w:rPr>
                <w:rFonts w:ascii="Calibri" w:hAnsi="Calibri"/>
                <w:color w:val="0F172A"/>
                <w:sz w:val="18"/>
              </w:rPr>
              <w:t>€250,000+ (~₹2.3 Crore INR)</w:t>
            </w:r>
          </w:p>
        </w:tc>
        <w:tc>
          <w:tcPr>
            <w:tcW w:w="3312" w:type="dxa"/>
          </w:tcPr>
          <w:p w14:paraId="539684B2" w14:textId="77777777" w:rsidR="00324B7F" w:rsidRDefault="00000000">
            <w:pPr>
              <w:spacing w:before="40" w:after="40"/>
            </w:pPr>
            <w:r>
              <w:rPr>
                <w:rFonts w:ascii="Calibri" w:hAnsi="Calibri"/>
                <w:color w:val="0F172A"/>
                <w:sz w:val="18"/>
              </w:rPr>
              <w:t>€15,000 to €20,000 (~₹14 to ₹18 Lakhs)</w:t>
            </w:r>
          </w:p>
        </w:tc>
      </w:tr>
      <w:tr w:rsidR="00324B7F" w14:paraId="4B5BABAB" w14:textId="77777777">
        <w:trPr>
          <w:jc w:val="center"/>
        </w:trPr>
        <w:tc>
          <w:tcPr>
            <w:tcW w:w="3312" w:type="dxa"/>
          </w:tcPr>
          <w:p w14:paraId="15855B92" w14:textId="77777777" w:rsidR="00324B7F" w:rsidRDefault="00000000">
            <w:pPr>
              <w:spacing w:before="40" w:after="40"/>
            </w:pPr>
            <w:r>
              <w:rPr>
                <w:rFonts w:ascii="Calibri" w:hAnsi="Calibri"/>
                <w:color w:val="0F172A"/>
                <w:sz w:val="18"/>
              </w:rPr>
              <w:t>Time to Tax Generation</w:t>
            </w:r>
          </w:p>
        </w:tc>
        <w:tc>
          <w:tcPr>
            <w:tcW w:w="3312" w:type="dxa"/>
          </w:tcPr>
          <w:p w14:paraId="3816A0AB" w14:textId="77777777" w:rsidR="00324B7F" w:rsidRDefault="00000000">
            <w:pPr>
              <w:spacing w:before="40" w:after="40"/>
            </w:pPr>
            <w:r>
              <w:rPr>
                <w:rFonts w:ascii="Calibri" w:hAnsi="Calibri"/>
                <w:color w:val="0F172A"/>
                <w:sz w:val="18"/>
              </w:rPr>
              <w:t>24 to 26 Years from birth</w:t>
            </w:r>
          </w:p>
        </w:tc>
        <w:tc>
          <w:tcPr>
            <w:tcW w:w="3312" w:type="dxa"/>
          </w:tcPr>
          <w:p w14:paraId="571E958A" w14:textId="77777777" w:rsidR="00324B7F" w:rsidRDefault="00000000">
            <w:pPr>
              <w:spacing w:before="40" w:after="40"/>
            </w:pPr>
            <w:r>
              <w:rPr>
                <w:rFonts w:ascii="Calibri" w:hAnsi="Calibri"/>
                <w:color w:val="0F172A"/>
                <w:sz w:val="18"/>
              </w:rPr>
              <w:t>Directly within 24 Months!</w:t>
            </w:r>
          </w:p>
        </w:tc>
      </w:tr>
    </w:tbl>
    <w:p w14:paraId="16D5A57A" w14:textId="77777777" w:rsidR="00324B7F" w:rsidRDefault="00000000">
      <w:pPr>
        <w:spacing w:before="240" w:after="80"/>
      </w:pPr>
      <w:r>
        <w:rPr>
          <w:rFonts w:ascii="Calibri" w:hAnsi="Calibri"/>
          <w:b/>
          <w:color w:val="0F172A"/>
          <w:sz w:val="23"/>
        </w:rPr>
        <w:t>The Payback Velocity: 100% Tax Recovery in 18 Months</w:t>
      </w:r>
    </w:p>
    <w:p w14:paraId="1D39F172" w14:textId="77777777" w:rsidR="00324B7F" w:rsidRDefault="00000000">
      <w:pPr>
        <w:spacing w:before="40" w:after="120"/>
      </w:pPr>
      <w:r>
        <w:rPr>
          <w:rFonts w:ascii="Calibri" w:hAnsi="Calibri"/>
          <w:color w:val="0F172A"/>
          <w:sz w:val="20"/>
        </w:rPr>
        <w:t>When an Indian STEM graduate finishes a 2-year Master of Science (M.Sc) at a German public research university and secures an entry-level engineering position at €58,000 per annum (approx. ₹52 Lakhs INR):</w:t>
      </w:r>
    </w:p>
    <w:p w14:paraId="52F057C3"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Income Tax (Lohnsteuer): ~€9,500 / year</w:t>
      </w:r>
    </w:p>
    <w:p w14:paraId="6963BA44"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Social Security &amp; Pension (Rentenversicherung + Krankenversicherung): ~€11,200 / year (employee + employer share)</w:t>
      </w:r>
    </w:p>
    <w:p w14:paraId="31EDA828"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Total Annual Sovereign Contribution: ~€20,700 / year</w:t>
      </w:r>
    </w:p>
    <w:p w14:paraId="0558DE20" w14:textId="77777777" w:rsidR="00324B7F" w:rsidRDefault="00000000">
      <w:pPr>
        <w:spacing w:before="40" w:after="120"/>
      </w:pPr>
      <w:r>
        <w:rPr>
          <w:rFonts w:ascii="Calibri" w:hAnsi="Calibri"/>
          <w:color w:val="0F172A"/>
          <w:sz w:val="20"/>
        </w:rPr>
        <w:t>The German state recovers its entire 2-year tuition investment (€20,000) within the first 12 to 14 months of the graduate's professional career. Over the graduate's 35-year working lifecycle, they contribute over €700,000 (₹6.5 Crore) in net taxes and social security, funding the pensions of retiring European citizens.</w:t>
      </w:r>
    </w:p>
    <w:p w14:paraId="3D4E3210" w14:textId="77777777" w:rsidR="00324B7F" w:rsidRDefault="00000000">
      <w:pPr>
        <w:spacing w:before="40" w:after="120"/>
      </w:pPr>
      <w:r>
        <w:rPr>
          <w:rFonts w:ascii="Calibri" w:hAnsi="Calibri"/>
          <w:color w:val="0F172A"/>
          <w:sz w:val="20"/>
        </w:rPr>
        <w:t>Zero-tuition education is not charity; it is one of the most profitable sovereign capital investments in the modern global economy.</w:t>
      </w:r>
    </w:p>
    <w:p w14:paraId="5F8F6F5F" w14:textId="77777777" w:rsidR="00324B7F" w:rsidRDefault="00000000">
      <w:pPr>
        <w:spacing w:before="320" w:after="120"/>
      </w:pPr>
      <w:r>
        <w:rPr>
          <w:rFonts w:ascii="Calibri" w:hAnsi="Calibri"/>
          <w:b/>
          <w:color w:val="0F766E"/>
          <w:sz w:val="27"/>
        </w:rPr>
        <w:t>4. The Strategic Divergence: Anglo-Saxon Extraction vs. European Absorption</w:t>
      </w:r>
    </w:p>
    <w:p w14:paraId="1CB07857" w14:textId="77777777" w:rsidR="00324B7F" w:rsidRDefault="00000000">
      <w:pPr>
        <w:spacing w:before="40" w:after="120"/>
      </w:pPr>
      <w:r>
        <w:rPr>
          <w:rFonts w:ascii="Calibri" w:hAnsi="Calibri"/>
          <w:color w:val="0F172A"/>
          <w:sz w:val="20"/>
        </w:rPr>
        <w:t>To understand why outbound mobility shifted dramatically in 2026, consider the structural difference in how governments view international students:</w:t>
      </w:r>
    </w:p>
    <w:p w14:paraId="26EB8816" w14:textId="77777777" w:rsidR="0098272F" w:rsidRDefault="0098272F">
      <w:pPr>
        <w:rPr>
          <w:rFonts w:ascii="Calibri" w:hAnsi="Calibri"/>
          <w:b/>
          <w:color w:val="0F172A"/>
          <w:sz w:val="23"/>
        </w:rPr>
      </w:pPr>
      <w:r>
        <w:rPr>
          <w:rFonts w:ascii="Calibri" w:hAnsi="Calibri"/>
          <w:b/>
          <w:color w:val="0F172A"/>
          <w:sz w:val="23"/>
        </w:rPr>
        <w:br w:type="page"/>
      </w:r>
    </w:p>
    <w:p w14:paraId="39055981" w14:textId="28498121" w:rsidR="00324B7F" w:rsidRDefault="00000000">
      <w:pPr>
        <w:spacing w:before="240" w:after="80"/>
      </w:pPr>
      <w:r>
        <w:rPr>
          <w:rFonts w:ascii="Calibri" w:hAnsi="Calibri"/>
          <w:b/>
          <w:color w:val="0F172A"/>
          <w:sz w:val="23"/>
        </w:rPr>
        <w:lastRenderedPageBreak/>
        <w:t xml:space="preserve"> Comparative Model Analysis: Anglo-Saxon vs. Continental European</w:t>
      </w:r>
    </w:p>
    <w:tbl>
      <w:tblPr>
        <w:tblW w:w="0" w:type="auto"/>
        <w:jc w:val="center"/>
        <w:tblLayout w:type="fixed"/>
        <w:tblLook w:val="04A0" w:firstRow="1" w:lastRow="0" w:firstColumn="1" w:lastColumn="0" w:noHBand="0" w:noVBand="1"/>
      </w:tblPr>
      <w:tblGrid>
        <w:gridCol w:w="3312"/>
        <w:gridCol w:w="3312"/>
        <w:gridCol w:w="3312"/>
      </w:tblGrid>
      <w:tr w:rsidR="00324B7F" w14:paraId="7F1BDA9C" w14:textId="77777777">
        <w:trPr>
          <w:jc w:val="center"/>
        </w:trPr>
        <w:tc>
          <w:tcPr>
            <w:tcW w:w="3312" w:type="dxa"/>
            <w:shd w:val="clear" w:color="auto" w:fill="0F172A"/>
          </w:tcPr>
          <w:p w14:paraId="1D4770AC" w14:textId="77777777" w:rsidR="00324B7F" w:rsidRDefault="00000000">
            <w:pPr>
              <w:spacing w:before="40" w:after="40"/>
            </w:pPr>
            <w:r>
              <w:rPr>
                <w:rFonts w:ascii="Calibri" w:hAnsi="Calibri"/>
                <w:b/>
                <w:color w:val="FFFFFF"/>
                <w:sz w:val="18"/>
              </w:rPr>
              <w:t>Evaluation Parameter</w:t>
            </w:r>
          </w:p>
        </w:tc>
        <w:tc>
          <w:tcPr>
            <w:tcW w:w="3312" w:type="dxa"/>
            <w:shd w:val="clear" w:color="auto" w:fill="0F172A"/>
          </w:tcPr>
          <w:p w14:paraId="58BA42E9" w14:textId="77777777" w:rsidR="00324B7F" w:rsidRDefault="00000000">
            <w:pPr>
              <w:spacing w:before="40" w:after="40"/>
            </w:pPr>
            <w:r>
              <w:rPr>
                <w:rFonts w:ascii="Calibri" w:hAnsi="Calibri"/>
                <w:b/>
                <w:color w:val="FFFFFF"/>
                <w:sz w:val="18"/>
              </w:rPr>
              <w:t>Anglo-Saxon Commercial Model (Canada / UK / Australia)</w:t>
            </w:r>
          </w:p>
        </w:tc>
        <w:tc>
          <w:tcPr>
            <w:tcW w:w="3312" w:type="dxa"/>
            <w:shd w:val="clear" w:color="auto" w:fill="0F172A"/>
          </w:tcPr>
          <w:p w14:paraId="7CA5C8F8" w14:textId="77777777" w:rsidR="00324B7F" w:rsidRDefault="00000000">
            <w:pPr>
              <w:spacing w:before="40" w:after="40"/>
            </w:pPr>
            <w:r>
              <w:rPr>
                <w:rFonts w:ascii="Calibri" w:hAnsi="Calibri"/>
                <w:b/>
                <w:color w:val="FFFFFF"/>
                <w:sz w:val="18"/>
              </w:rPr>
              <w:t>Continental European Sovereign Model (Germany / Italy / Austria)</w:t>
            </w:r>
          </w:p>
        </w:tc>
      </w:tr>
      <w:tr w:rsidR="00324B7F" w14:paraId="7BC3FEFF" w14:textId="77777777">
        <w:trPr>
          <w:jc w:val="center"/>
        </w:trPr>
        <w:tc>
          <w:tcPr>
            <w:tcW w:w="3312" w:type="dxa"/>
          </w:tcPr>
          <w:p w14:paraId="6A9E9113" w14:textId="77777777" w:rsidR="00324B7F" w:rsidRDefault="00000000">
            <w:pPr>
              <w:spacing w:before="40" w:after="40"/>
            </w:pPr>
            <w:r>
              <w:rPr>
                <w:rFonts w:ascii="Calibri" w:hAnsi="Calibri"/>
                <w:color w:val="0F172A"/>
                <w:sz w:val="18"/>
              </w:rPr>
              <w:t>Primary Economic Objective</w:t>
            </w:r>
          </w:p>
        </w:tc>
        <w:tc>
          <w:tcPr>
            <w:tcW w:w="3312" w:type="dxa"/>
          </w:tcPr>
          <w:p w14:paraId="60307039" w14:textId="77777777" w:rsidR="00324B7F" w:rsidRDefault="00000000">
            <w:pPr>
              <w:spacing w:before="40" w:after="40"/>
            </w:pPr>
            <w:r>
              <w:rPr>
                <w:rFonts w:ascii="Calibri" w:hAnsi="Calibri"/>
                <w:color w:val="0F172A"/>
                <w:sz w:val="18"/>
              </w:rPr>
              <w:t>Tuition Extraction: Offsetting domestic university budget deficits through high-margin international fees.</w:t>
            </w:r>
          </w:p>
        </w:tc>
        <w:tc>
          <w:tcPr>
            <w:tcW w:w="3312" w:type="dxa"/>
          </w:tcPr>
          <w:p w14:paraId="3D4E313E" w14:textId="77777777" w:rsidR="00324B7F" w:rsidRDefault="00000000">
            <w:pPr>
              <w:spacing w:before="40" w:after="40"/>
            </w:pPr>
            <w:r>
              <w:rPr>
                <w:rFonts w:ascii="Calibri" w:hAnsi="Calibri"/>
                <w:color w:val="0F172A"/>
                <w:sz w:val="18"/>
              </w:rPr>
              <w:t>Human Capital Absorption: Recruiting long-term skilled labor to resolve domestic demographic collapse.</w:t>
            </w:r>
          </w:p>
        </w:tc>
      </w:tr>
      <w:tr w:rsidR="00324B7F" w14:paraId="49E1E3EE" w14:textId="77777777">
        <w:trPr>
          <w:jc w:val="center"/>
        </w:trPr>
        <w:tc>
          <w:tcPr>
            <w:tcW w:w="3312" w:type="dxa"/>
          </w:tcPr>
          <w:p w14:paraId="291A76EC" w14:textId="77777777" w:rsidR="00324B7F" w:rsidRDefault="00000000">
            <w:pPr>
              <w:spacing w:before="40" w:after="40"/>
            </w:pPr>
            <w:r>
              <w:rPr>
                <w:rFonts w:ascii="Calibri" w:hAnsi="Calibri"/>
                <w:color w:val="0F172A"/>
                <w:sz w:val="18"/>
              </w:rPr>
              <w:t>Institutional Profile</w:t>
            </w:r>
          </w:p>
        </w:tc>
        <w:tc>
          <w:tcPr>
            <w:tcW w:w="3312" w:type="dxa"/>
          </w:tcPr>
          <w:p w14:paraId="7750FFFE" w14:textId="77777777" w:rsidR="00324B7F" w:rsidRDefault="00000000">
            <w:pPr>
              <w:spacing w:before="40" w:after="40"/>
            </w:pPr>
            <w:r>
              <w:rPr>
                <w:rFonts w:ascii="Calibri" w:hAnsi="Calibri"/>
                <w:color w:val="0F172A"/>
                <w:sz w:val="18"/>
              </w:rPr>
              <w:t>Private strip-mall colleges, unranked career institutes, public-private curriculum licensing mills.</w:t>
            </w:r>
          </w:p>
        </w:tc>
        <w:tc>
          <w:tcPr>
            <w:tcW w:w="3312" w:type="dxa"/>
          </w:tcPr>
          <w:p w14:paraId="79799F51" w14:textId="77777777" w:rsidR="00324B7F" w:rsidRDefault="00000000">
            <w:pPr>
              <w:spacing w:before="40" w:after="40"/>
            </w:pPr>
            <w:r>
              <w:rPr>
                <w:rFonts w:ascii="Calibri" w:hAnsi="Calibri"/>
                <w:color w:val="0F172A"/>
                <w:sz w:val="18"/>
              </w:rPr>
              <w:t>500-to-800-year-old sovereign research universities (TU9, Bologna, Sapienza, Vienna).</w:t>
            </w:r>
          </w:p>
        </w:tc>
      </w:tr>
      <w:tr w:rsidR="00324B7F" w14:paraId="26E025CD" w14:textId="77777777">
        <w:trPr>
          <w:jc w:val="center"/>
        </w:trPr>
        <w:tc>
          <w:tcPr>
            <w:tcW w:w="3312" w:type="dxa"/>
          </w:tcPr>
          <w:p w14:paraId="79F204E3" w14:textId="77777777" w:rsidR="00324B7F" w:rsidRDefault="00000000">
            <w:pPr>
              <w:spacing w:before="40" w:after="40"/>
            </w:pPr>
            <w:r>
              <w:rPr>
                <w:rFonts w:ascii="Calibri" w:hAnsi="Calibri"/>
                <w:color w:val="0F172A"/>
                <w:sz w:val="18"/>
              </w:rPr>
              <w:t>Tuition Fee Structure</w:t>
            </w:r>
          </w:p>
        </w:tc>
        <w:tc>
          <w:tcPr>
            <w:tcW w:w="3312" w:type="dxa"/>
          </w:tcPr>
          <w:p w14:paraId="54B27A17" w14:textId="77777777" w:rsidR="00324B7F" w:rsidRDefault="00000000">
            <w:pPr>
              <w:spacing w:before="40" w:after="40"/>
            </w:pPr>
            <w:r>
              <w:rPr>
                <w:rFonts w:ascii="Calibri" w:hAnsi="Calibri"/>
                <w:color w:val="0F172A"/>
                <w:sz w:val="18"/>
              </w:rPr>
              <w:t>₹20 Lakhs to ₹45 Lakhs / year (Aggressive 5–10% annual fee inflation).</w:t>
            </w:r>
          </w:p>
        </w:tc>
        <w:tc>
          <w:tcPr>
            <w:tcW w:w="3312" w:type="dxa"/>
          </w:tcPr>
          <w:p w14:paraId="5E02A77C" w14:textId="77777777" w:rsidR="00324B7F" w:rsidRDefault="00000000">
            <w:pPr>
              <w:spacing w:before="40" w:after="40"/>
            </w:pPr>
            <w:r>
              <w:rPr>
                <w:rFonts w:ascii="Calibri" w:hAnsi="Calibri"/>
                <w:color w:val="0F172A"/>
                <w:sz w:val="18"/>
              </w:rPr>
              <w:t>€0 (100% Tuition-Free) or sliding-scale DSU scholarship waivers.</w:t>
            </w:r>
          </w:p>
        </w:tc>
      </w:tr>
      <w:tr w:rsidR="00324B7F" w14:paraId="1B79975A" w14:textId="77777777">
        <w:trPr>
          <w:jc w:val="center"/>
        </w:trPr>
        <w:tc>
          <w:tcPr>
            <w:tcW w:w="3312" w:type="dxa"/>
          </w:tcPr>
          <w:p w14:paraId="0016F694" w14:textId="77777777" w:rsidR="00324B7F" w:rsidRDefault="00000000">
            <w:pPr>
              <w:spacing w:before="40" w:after="40"/>
            </w:pPr>
            <w:r>
              <w:rPr>
                <w:rFonts w:ascii="Calibri" w:hAnsi="Calibri"/>
                <w:color w:val="0F172A"/>
                <w:sz w:val="18"/>
              </w:rPr>
              <w:t>Direct Living Grants</w:t>
            </w:r>
          </w:p>
        </w:tc>
        <w:tc>
          <w:tcPr>
            <w:tcW w:w="3312" w:type="dxa"/>
          </w:tcPr>
          <w:p w14:paraId="0BFE3BB9" w14:textId="77777777" w:rsidR="00324B7F" w:rsidRDefault="00000000">
            <w:pPr>
              <w:spacing w:before="40" w:after="40"/>
            </w:pPr>
            <w:r>
              <w:rPr>
                <w:rFonts w:ascii="Calibri" w:hAnsi="Calibri"/>
                <w:color w:val="0F172A"/>
                <w:sz w:val="18"/>
              </w:rPr>
              <w:t>Negligible / Zero (Requires $20,635 CAD upfront locked GIC).</w:t>
            </w:r>
          </w:p>
        </w:tc>
        <w:tc>
          <w:tcPr>
            <w:tcW w:w="3312" w:type="dxa"/>
          </w:tcPr>
          <w:p w14:paraId="3345E547" w14:textId="77777777" w:rsidR="00324B7F" w:rsidRDefault="00000000">
            <w:pPr>
              <w:spacing w:before="40" w:after="40"/>
            </w:pPr>
            <w:r>
              <w:rPr>
                <w:rFonts w:ascii="Calibri" w:hAnsi="Calibri"/>
                <w:color w:val="0F172A"/>
                <w:sz w:val="18"/>
              </w:rPr>
              <w:t>Up to €8,500/year Cash Living Grants (Italy DSU) + free transit.</w:t>
            </w:r>
          </w:p>
        </w:tc>
      </w:tr>
      <w:tr w:rsidR="00324B7F" w14:paraId="6C9E8CFD" w14:textId="77777777">
        <w:trPr>
          <w:jc w:val="center"/>
        </w:trPr>
        <w:tc>
          <w:tcPr>
            <w:tcW w:w="3312" w:type="dxa"/>
          </w:tcPr>
          <w:p w14:paraId="22B00EB2" w14:textId="77777777" w:rsidR="00324B7F" w:rsidRDefault="00000000">
            <w:pPr>
              <w:spacing w:before="40" w:after="40"/>
            </w:pPr>
            <w:r>
              <w:rPr>
                <w:rFonts w:ascii="Calibri" w:hAnsi="Calibri"/>
                <w:color w:val="0F172A"/>
                <w:sz w:val="18"/>
              </w:rPr>
              <w:t>Post-Study Visa Policy</w:t>
            </w:r>
          </w:p>
        </w:tc>
        <w:tc>
          <w:tcPr>
            <w:tcW w:w="3312" w:type="dxa"/>
          </w:tcPr>
          <w:p w14:paraId="57308294" w14:textId="77777777" w:rsidR="00324B7F" w:rsidRDefault="00000000">
            <w:pPr>
              <w:spacing w:before="40" w:after="40"/>
            </w:pPr>
            <w:r>
              <w:rPr>
                <w:rFonts w:ascii="Calibri" w:hAnsi="Calibri"/>
                <w:color w:val="0F172A"/>
                <w:sz w:val="18"/>
              </w:rPr>
              <w:t>Restrictive intake caps, dependants banned, £38,700 minimum salary sponsorship barriers.</w:t>
            </w:r>
          </w:p>
        </w:tc>
        <w:tc>
          <w:tcPr>
            <w:tcW w:w="3312" w:type="dxa"/>
          </w:tcPr>
          <w:p w14:paraId="7B0E3F47" w14:textId="77777777" w:rsidR="00324B7F" w:rsidRDefault="00000000">
            <w:pPr>
              <w:spacing w:before="40" w:after="40"/>
            </w:pPr>
            <w:r>
              <w:rPr>
                <w:rFonts w:ascii="Calibri" w:hAnsi="Calibri"/>
                <w:color w:val="0F172A"/>
                <w:sz w:val="18"/>
              </w:rPr>
              <w:t>18-Month Job Search Visa, Chancenkarte, fast-track skilled immigration.</w:t>
            </w:r>
          </w:p>
        </w:tc>
      </w:tr>
      <w:tr w:rsidR="00324B7F" w14:paraId="6147257E" w14:textId="77777777">
        <w:trPr>
          <w:jc w:val="center"/>
        </w:trPr>
        <w:tc>
          <w:tcPr>
            <w:tcW w:w="3312" w:type="dxa"/>
          </w:tcPr>
          <w:p w14:paraId="1993AC0A" w14:textId="77777777" w:rsidR="00324B7F" w:rsidRDefault="00000000">
            <w:pPr>
              <w:spacing w:before="40" w:after="40"/>
            </w:pPr>
            <w:r>
              <w:rPr>
                <w:rFonts w:ascii="Calibri" w:hAnsi="Calibri"/>
                <w:color w:val="0F172A"/>
                <w:sz w:val="18"/>
              </w:rPr>
              <w:t>Permanent Residency (PR) Path</w:t>
            </w:r>
          </w:p>
        </w:tc>
        <w:tc>
          <w:tcPr>
            <w:tcW w:w="3312" w:type="dxa"/>
          </w:tcPr>
          <w:p w14:paraId="513BC549" w14:textId="77777777" w:rsidR="00324B7F" w:rsidRDefault="00000000">
            <w:pPr>
              <w:spacing w:before="40" w:after="40"/>
            </w:pPr>
            <w:r>
              <w:rPr>
                <w:rFonts w:ascii="Calibri" w:hAnsi="Calibri"/>
                <w:color w:val="0F172A"/>
                <w:sz w:val="18"/>
              </w:rPr>
              <w:t>Unpredictable CRS points inflation; &gt;85% forced repatriation within 2 years.</w:t>
            </w:r>
          </w:p>
        </w:tc>
        <w:tc>
          <w:tcPr>
            <w:tcW w:w="3312" w:type="dxa"/>
          </w:tcPr>
          <w:p w14:paraId="7D0C708F" w14:textId="77777777" w:rsidR="00324B7F" w:rsidRDefault="00000000">
            <w:pPr>
              <w:spacing w:before="40" w:after="40"/>
            </w:pPr>
            <w:r>
              <w:rPr>
                <w:rFonts w:ascii="Calibri" w:hAnsi="Calibri"/>
                <w:color w:val="0F172A"/>
                <w:sz w:val="18"/>
              </w:rPr>
              <w:t>Statutory PR (Niederlassungserlaubnis) in 21 to 24 months of skilled employment.</w:t>
            </w:r>
          </w:p>
        </w:tc>
      </w:tr>
      <w:tr w:rsidR="00324B7F" w14:paraId="35C46B68" w14:textId="77777777">
        <w:trPr>
          <w:jc w:val="center"/>
        </w:trPr>
        <w:tc>
          <w:tcPr>
            <w:tcW w:w="3312" w:type="dxa"/>
          </w:tcPr>
          <w:p w14:paraId="0176433F" w14:textId="77777777" w:rsidR="00324B7F" w:rsidRDefault="00000000">
            <w:pPr>
              <w:spacing w:before="40" w:after="40"/>
            </w:pPr>
            <w:r>
              <w:rPr>
                <w:rFonts w:ascii="Calibri" w:hAnsi="Calibri"/>
                <w:color w:val="0F172A"/>
                <w:sz w:val="18"/>
              </w:rPr>
              <w:t>Household Financial Risk</w:t>
            </w:r>
          </w:p>
        </w:tc>
        <w:tc>
          <w:tcPr>
            <w:tcW w:w="3312" w:type="dxa"/>
          </w:tcPr>
          <w:p w14:paraId="30FE6DA7" w14:textId="77777777" w:rsidR="00324B7F" w:rsidRDefault="00000000">
            <w:pPr>
              <w:spacing w:before="40" w:after="40"/>
            </w:pPr>
            <w:r>
              <w:rPr>
                <w:rFonts w:ascii="Calibri" w:hAnsi="Calibri"/>
                <w:color w:val="0F172A"/>
                <w:sz w:val="18"/>
              </w:rPr>
              <w:t>Severe Default Risk: ₹50L+ NBFC loan at 13.5% = ₹76,100/mo EMI liability.</w:t>
            </w:r>
          </w:p>
        </w:tc>
        <w:tc>
          <w:tcPr>
            <w:tcW w:w="3312" w:type="dxa"/>
          </w:tcPr>
          <w:p w14:paraId="2BC16820" w14:textId="77777777" w:rsidR="00324B7F" w:rsidRDefault="00000000">
            <w:pPr>
              <w:spacing w:before="40" w:after="40"/>
            </w:pPr>
            <w:r>
              <w:rPr>
                <w:rFonts w:ascii="Calibri" w:hAnsi="Calibri"/>
                <w:color w:val="0F172A"/>
                <w:sz w:val="18"/>
              </w:rPr>
              <w:t>Zero Balance-Sheet Risk: Family assets and retirement savings remain 100% protected.</w:t>
            </w:r>
          </w:p>
        </w:tc>
      </w:tr>
    </w:tbl>
    <w:p w14:paraId="4B593375" w14:textId="2A243F22" w:rsidR="00324B7F" w:rsidRDefault="00324B7F">
      <w:pPr>
        <w:spacing w:before="40" w:after="120"/>
      </w:pPr>
    </w:p>
    <w:p w14:paraId="3817FA5A" w14:textId="77777777" w:rsidR="00324B7F" w:rsidRDefault="00000000">
      <w:pPr>
        <w:spacing w:before="320" w:after="120"/>
      </w:pPr>
      <w:r>
        <w:rPr>
          <w:rFonts w:ascii="Calibri" w:hAnsi="Calibri"/>
          <w:b/>
          <w:color w:val="0F766E"/>
          <w:sz w:val="27"/>
        </w:rPr>
        <w:t>5. The Statutory Legal Frameworks of 2026: Official Gazette Deep-Dive</w:t>
      </w:r>
    </w:p>
    <w:p w14:paraId="0AEC294A" w14:textId="77777777" w:rsidR="00324B7F" w:rsidRDefault="00000000">
      <w:pPr>
        <w:spacing w:before="40" w:after="120"/>
      </w:pPr>
      <w:r>
        <w:rPr>
          <w:rFonts w:ascii="Calibri" w:hAnsi="Calibri"/>
          <w:color w:val="0F172A"/>
          <w:sz w:val="20"/>
        </w:rPr>
        <w:t>European parliaments have enacted aggressive statutory reforms to institutionalize the retention of international talent:</w:t>
      </w:r>
    </w:p>
    <w:p w14:paraId="20F8A026" w14:textId="77777777" w:rsidR="00324B7F" w:rsidRDefault="00000000">
      <w:pPr>
        <w:spacing w:before="240" w:after="80"/>
      </w:pPr>
      <w:r>
        <w:rPr>
          <w:rFonts w:ascii="Calibri" w:hAnsi="Calibri"/>
          <w:b/>
          <w:color w:val="0F172A"/>
          <w:sz w:val="23"/>
        </w:rPr>
        <w:t>A. Germany: *Fachkräfteeinwanderungsgesetz 2.0* &amp; The *Chancenkarte*</w:t>
      </w:r>
    </w:p>
    <w:p w14:paraId="7D24A858" w14:textId="77777777" w:rsidR="00324B7F" w:rsidRDefault="00000000">
      <w:pPr>
        <w:spacing w:before="40" w:after="120"/>
      </w:pPr>
      <w:r>
        <w:rPr>
          <w:rFonts w:ascii="Calibri" w:hAnsi="Calibri"/>
          <w:color w:val="0F172A"/>
          <w:sz w:val="20"/>
        </w:rPr>
        <w:t>Under Germany's updated Skilled Immigration Act (Fachkräfteeinwanderungsgesetz) and the nationwide rollout of the Opportunity Card (Chancenkarte):</w:t>
      </w:r>
    </w:p>
    <w:p w14:paraId="025B304F"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Fast-Track Settlement (Niederlassungserlaubnis): International graduates of German public universities can apply for permanent residency after just 21 months of skilled employment (reduced from 24 months) if basic German language proficiency (B1 level) is demonstrated.</w:t>
      </w:r>
    </w:p>
    <w:p w14:paraId="7F58EF62"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18-Month Post-Study Job Search: Graduates receive an unconditional 18-month residence permit to secure skilled employment, with full rights to work unrestricted during this period.</w:t>
      </w:r>
    </w:p>
    <w:p w14:paraId="11E474A6"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Expanded Student Work Rights: International students are legally permitted to work 140 full days (or 280 half days) per year, earning €14 to €18/hour to cover routine living expenses.</w:t>
      </w:r>
    </w:p>
    <w:p w14:paraId="045BBA08" w14:textId="77777777" w:rsidR="00324B7F" w:rsidRDefault="00000000">
      <w:pPr>
        <w:spacing w:before="240" w:after="80"/>
      </w:pPr>
      <w:r>
        <w:rPr>
          <w:rFonts w:ascii="Calibri" w:hAnsi="Calibri"/>
          <w:b/>
          <w:color w:val="0F172A"/>
          <w:sz w:val="23"/>
        </w:rPr>
        <w:t>B. Italy: Constitutional Right to Education (Article 34 &amp; DSU)</w:t>
      </w:r>
    </w:p>
    <w:p w14:paraId="4DFC8173" w14:textId="77777777" w:rsidR="00324B7F" w:rsidRDefault="00000000">
      <w:pPr>
        <w:spacing w:before="40" w:after="120"/>
      </w:pPr>
      <w:r>
        <w:rPr>
          <w:rFonts w:ascii="Calibri" w:hAnsi="Calibri"/>
          <w:color w:val="0F172A"/>
          <w:sz w:val="20"/>
        </w:rPr>
        <w:t>Under Article 34 of the Italian Constitution (Costituzione della Repubblica Italiana) and Decreto Legislativo 68/2012:</w:t>
      </w:r>
    </w:p>
    <w:p w14:paraId="6AFEE99F"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Universal Tuition Waivers: Foreign students whose family financial profile (evaluated via the ISEE Parificato) falls below the regional threshold (&lt; €23,000 / year, approx. ₹21–₹23 Lakhs INR) receive 100% full gross tuition fee waivers.</w:t>
      </w:r>
    </w:p>
    <w:p w14:paraId="50557897"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Direct Cash Living Stipends: Beneficiaries receive direct bank disbursements of €7,000 to €8,500 per year to cover housing and food.</w:t>
      </w:r>
    </w:p>
    <w:p w14:paraId="7A000E32"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Legal Conversion to Work Permit (Permesso di Soggiorno per Lavoro): Graduates can convert their student permit directly into a regular work permit upon securing employment, bypassing annual quota limits (Decreto Flussi).</w:t>
      </w:r>
    </w:p>
    <w:p w14:paraId="6F2D9018" w14:textId="77777777" w:rsidR="00324B7F" w:rsidRDefault="00000000">
      <w:pPr>
        <w:spacing w:before="240" w:after="80"/>
      </w:pPr>
      <w:r>
        <w:rPr>
          <w:rFonts w:ascii="Calibri" w:hAnsi="Calibri"/>
          <w:b/>
          <w:color w:val="0F172A"/>
          <w:sz w:val="23"/>
        </w:rPr>
        <w:t>C. EU Blue Card Directive (Directive EU 2021/1883)</w:t>
      </w:r>
    </w:p>
    <w:p w14:paraId="41FDD358" w14:textId="77777777" w:rsidR="00324B7F" w:rsidRDefault="00000000">
      <w:pPr>
        <w:spacing w:before="40" w:after="120"/>
      </w:pPr>
      <w:r>
        <w:rPr>
          <w:rFonts w:ascii="Calibri" w:hAnsi="Calibri"/>
          <w:color w:val="0F172A"/>
          <w:sz w:val="20"/>
        </w:rPr>
        <w:lastRenderedPageBreak/>
        <w:t>The modernized EU Blue Card framework dramatically lowers the entry threshold for international STEM graduates across Germany, Austria, and the Schengen zone:</w:t>
      </w:r>
    </w:p>
    <w:p w14:paraId="41A19CBA"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Reduced minimum salary threshold to 45.3% of the annual contribution assessment ceiling for shortage occupations (~€41,041 in Germany for engineers and IT specialists).</w:t>
      </w:r>
    </w:p>
    <w:p w14:paraId="70066987"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Streamlined inter-EU mobility, allowing professionals to relocate between EU member states after 12 months without restarting their residency tenure.</w:t>
      </w:r>
    </w:p>
    <w:p w14:paraId="410B57B4" w14:textId="7DBAC173" w:rsidR="00324B7F" w:rsidRDefault="00324B7F">
      <w:pPr>
        <w:spacing w:before="40" w:after="120"/>
      </w:pPr>
    </w:p>
    <w:p w14:paraId="6B307160" w14:textId="77777777" w:rsidR="00324B7F" w:rsidRDefault="00000000">
      <w:pPr>
        <w:spacing w:before="320" w:after="120"/>
      </w:pPr>
      <w:r>
        <w:rPr>
          <w:rFonts w:ascii="Calibri" w:hAnsi="Calibri"/>
          <w:b/>
          <w:color w:val="0F766E"/>
          <w:sz w:val="27"/>
        </w:rPr>
        <w:t>6. The 1.8-Million Vacancy High-Demand Sector Matrix (2026–2030)</w:t>
      </w:r>
    </w:p>
    <w:p w14:paraId="3C7A59AD" w14:textId="77777777" w:rsidR="00324B7F" w:rsidRDefault="00000000">
      <w:pPr>
        <w:spacing w:before="40" w:after="120"/>
      </w:pPr>
      <w:r>
        <w:rPr>
          <w:rFonts w:ascii="Calibri" w:hAnsi="Calibri"/>
          <w:color w:val="0F172A"/>
          <w:sz w:val="20"/>
        </w:rPr>
        <w:t>According to the Federal Employment Agency's Shortage Audit (Fachkräfteengpassbericht), vacancies are heavily concentrated in technical and healthcare disciplines:</w:t>
      </w:r>
    </w:p>
    <w:p w14:paraId="3CCF079B" w14:textId="009C4368" w:rsidR="00324B7F" w:rsidRDefault="00000000">
      <w:pPr>
        <w:spacing w:before="240" w:after="80"/>
      </w:pPr>
      <w:r>
        <w:rPr>
          <w:rFonts w:ascii="Calibri" w:hAnsi="Calibri"/>
          <w:b/>
          <w:color w:val="0F172A"/>
          <w:sz w:val="23"/>
        </w:rPr>
        <w:t xml:space="preserve"> Priority High-Demand Engineering &amp; Scientific Sectors in Continental Europe</w:t>
      </w:r>
    </w:p>
    <w:tbl>
      <w:tblPr>
        <w:tblW w:w="0" w:type="auto"/>
        <w:jc w:val="center"/>
        <w:tblLayout w:type="fixed"/>
        <w:tblLook w:val="04A0" w:firstRow="1" w:lastRow="0" w:firstColumn="1" w:lastColumn="0" w:noHBand="0" w:noVBand="1"/>
      </w:tblPr>
      <w:tblGrid>
        <w:gridCol w:w="1987"/>
        <w:gridCol w:w="1987"/>
        <w:gridCol w:w="1987"/>
        <w:gridCol w:w="1987"/>
        <w:gridCol w:w="1987"/>
      </w:tblGrid>
      <w:tr w:rsidR="00324B7F" w14:paraId="2E8EE351" w14:textId="77777777">
        <w:trPr>
          <w:jc w:val="center"/>
        </w:trPr>
        <w:tc>
          <w:tcPr>
            <w:tcW w:w="1987" w:type="dxa"/>
            <w:shd w:val="clear" w:color="auto" w:fill="0F172A"/>
          </w:tcPr>
          <w:p w14:paraId="6D63A344" w14:textId="77777777" w:rsidR="00324B7F" w:rsidRDefault="00000000">
            <w:pPr>
              <w:spacing w:before="40" w:after="40"/>
            </w:pPr>
            <w:r>
              <w:rPr>
                <w:rFonts w:ascii="Calibri" w:hAnsi="Calibri"/>
                <w:b/>
                <w:color w:val="FFFFFF"/>
                <w:sz w:val="18"/>
              </w:rPr>
              <w:t>Discipline / Domain</w:t>
            </w:r>
          </w:p>
        </w:tc>
        <w:tc>
          <w:tcPr>
            <w:tcW w:w="1987" w:type="dxa"/>
            <w:shd w:val="clear" w:color="auto" w:fill="0F172A"/>
          </w:tcPr>
          <w:p w14:paraId="227B5F5E" w14:textId="77777777" w:rsidR="00324B7F" w:rsidRDefault="00000000">
            <w:pPr>
              <w:spacing w:before="40" w:after="40"/>
            </w:pPr>
            <w:r>
              <w:rPr>
                <w:rFonts w:ascii="Calibri" w:hAnsi="Calibri"/>
                <w:b/>
                <w:color w:val="FFFFFF"/>
                <w:sz w:val="18"/>
              </w:rPr>
              <w:t>Core Specializations in Demand</w:t>
            </w:r>
          </w:p>
        </w:tc>
        <w:tc>
          <w:tcPr>
            <w:tcW w:w="1987" w:type="dxa"/>
            <w:shd w:val="clear" w:color="auto" w:fill="0F172A"/>
          </w:tcPr>
          <w:p w14:paraId="72064FC5" w14:textId="77777777" w:rsidR="00324B7F" w:rsidRDefault="00000000">
            <w:pPr>
              <w:spacing w:before="40" w:after="40"/>
            </w:pPr>
            <w:r>
              <w:rPr>
                <w:rFonts w:ascii="Calibri" w:hAnsi="Calibri"/>
                <w:b/>
                <w:color w:val="FFFFFF"/>
                <w:sz w:val="18"/>
              </w:rPr>
              <w:t>Primary Industrial Corridors</w:t>
            </w:r>
          </w:p>
        </w:tc>
        <w:tc>
          <w:tcPr>
            <w:tcW w:w="1987" w:type="dxa"/>
            <w:shd w:val="clear" w:color="auto" w:fill="0F172A"/>
          </w:tcPr>
          <w:p w14:paraId="772F225D" w14:textId="77777777" w:rsidR="00324B7F" w:rsidRDefault="00000000">
            <w:pPr>
              <w:spacing w:before="40" w:after="40"/>
            </w:pPr>
            <w:r>
              <w:rPr>
                <w:rFonts w:ascii="Calibri" w:hAnsi="Calibri"/>
                <w:b/>
                <w:color w:val="FFFFFF"/>
                <w:sz w:val="18"/>
              </w:rPr>
              <w:t>Starting Compensation</w:t>
            </w:r>
          </w:p>
        </w:tc>
        <w:tc>
          <w:tcPr>
            <w:tcW w:w="1987" w:type="dxa"/>
            <w:shd w:val="clear" w:color="auto" w:fill="0F172A"/>
          </w:tcPr>
          <w:p w14:paraId="664635E8" w14:textId="77777777" w:rsidR="00324B7F" w:rsidRDefault="00000000">
            <w:pPr>
              <w:spacing w:before="40" w:after="40"/>
            </w:pPr>
            <w:r>
              <w:rPr>
                <w:rFonts w:ascii="Calibri" w:hAnsi="Calibri"/>
                <w:b/>
                <w:color w:val="FFFFFF"/>
                <w:sz w:val="18"/>
              </w:rPr>
              <w:t>Statutory Settlement Timeline</w:t>
            </w:r>
          </w:p>
        </w:tc>
      </w:tr>
      <w:tr w:rsidR="00324B7F" w14:paraId="58B7EADE" w14:textId="77777777">
        <w:trPr>
          <w:jc w:val="center"/>
        </w:trPr>
        <w:tc>
          <w:tcPr>
            <w:tcW w:w="1987" w:type="dxa"/>
          </w:tcPr>
          <w:p w14:paraId="3AB372B1" w14:textId="77777777" w:rsidR="00324B7F" w:rsidRDefault="00000000">
            <w:pPr>
              <w:spacing w:before="40" w:after="40"/>
            </w:pPr>
            <w:r>
              <w:rPr>
                <w:rFonts w:ascii="Calibri" w:hAnsi="Calibri"/>
                <w:color w:val="0F172A"/>
                <w:sz w:val="18"/>
              </w:rPr>
              <w:t>Robotics &amp; Automation</w:t>
            </w:r>
          </w:p>
        </w:tc>
        <w:tc>
          <w:tcPr>
            <w:tcW w:w="1987" w:type="dxa"/>
          </w:tcPr>
          <w:p w14:paraId="1143C918" w14:textId="77777777" w:rsidR="00324B7F" w:rsidRDefault="00000000">
            <w:pPr>
              <w:spacing w:before="40" w:after="40"/>
            </w:pPr>
            <w:r>
              <w:rPr>
                <w:rFonts w:ascii="Calibri" w:hAnsi="Calibri"/>
                <w:color w:val="0F172A"/>
                <w:sz w:val="18"/>
              </w:rPr>
              <w:t>Mechatronics, Embedded Systems, PLC, Industrial IoT</w:t>
            </w:r>
          </w:p>
        </w:tc>
        <w:tc>
          <w:tcPr>
            <w:tcW w:w="1987" w:type="dxa"/>
          </w:tcPr>
          <w:p w14:paraId="70865A8F" w14:textId="77777777" w:rsidR="00324B7F" w:rsidRDefault="00000000">
            <w:pPr>
              <w:spacing w:before="40" w:after="40"/>
            </w:pPr>
            <w:r>
              <w:rPr>
                <w:rFonts w:ascii="Calibri" w:hAnsi="Calibri"/>
                <w:color w:val="0F172A"/>
                <w:sz w:val="18"/>
              </w:rPr>
              <w:t>Baden-Württemberg, Bavaria (Munich, Stuttgart)</w:t>
            </w:r>
          </w:p>
        </w:tc>
        <w:tc>
          <w:tcPr>
            <w:tcW w:w="1987" w:type="dxa"/>
          </w:tcPr>
          <w:p w14:paraId="6D4D0CAB" w14:textId="77777777" w:rsidR="00324B7F" w:rsidRDefault="00000000">
            <w:pPr>
              <w:spacing w:before="40" w:after="40"/>
            </w:pPr>
            <w:r>
              <w:rPr>
                <w:rFonts w:ascii="Calibri" w:hAnsi="Calibri"/>
                <w:color w:val="0F172A"/>
                <w:sz w:val="18"/>
              </w:rPr>
              <w:t>€56,000 – €68,000 (~₹50L–₹61L)</w:t>
            </w:r>
          </w:p>
        </w:tc>
        <w:tc>
          <w:tcPr>
            <w:tcW w:w="1987" w:type="dxa"/>
          </w:tcPr>
          <w:p w14:paraId="3FEBEB8A" w14:textId="77777777" w:rsidR="00324B7F" w:rsidRDefault="00000000">
            <w:pPr>
              <w:spacing w:before="40" w:after="40"/>
            </w:pPr>
            <w:r>
              <w:rPr>
                <w:rFonts w:ascii="Calibri" w:hAnsi="Calibri"/>
                <w:color w:val="0F172A"/>
                <w:sz w:val="18"/>
              </w:rPr>
              <w:t>21 Months (PR Eligible)</w:t>
            </w:r>
          </w:p>
        </w:tc>
      </w:tr>
      <w:tr w:rsidR="00324B7F" w14:paraId="2D09CE77" w14:textId="77777777">
        <w:trPr>
          <w:jc w:val="center"/>
        </w:trPr>
        <w:tc>
          <w:tcPr>
            <w:tcW w:w="1987" w:type="dxa"/>
          </w:tcPr>
          <w:p w14:paraId="22BA2968" w14:textId="77777777" w:rsidR="00324B7F" w:rsidRDefault="00000000">
            <w:pPr>
              <w:spacing w:before="40" w:after="40"/>
            </w:pPr>
            <w:r>
              <w:rPr>
                <w:rFonts w:ascii="Calibri" w:hAnsi="Calibri"/>
                <w:color w:val="0F172A"/>
                <w:sz w:val="18"/>
              </w:rPr>
              <w:t>Automotive &amp; EV Systems</w:t>
            </w:r>
          </w:p>
        </w:tc>
        <w:tc>
          <w:tcPr>
            <w:tcW w:w="1987" w:type="dxa"/>
          </w:tcPr>
          <w:p w14:paraId="5AD33DB1" w14:textId="77777777" w:rsidR="00324B7F" w:rsidRDefault="00000000">
            <w:pPr>
              <w:spacing w:before="40" w:after="40"/>
            </w:pPr>
            <w:r>
              <w:rPr>
                <w:rFonts w:ascii="Calibri" w:hAnsi="Calibri"/>
                <w:color w:val="0F172A"/>
                <w:sz w:val="18"/>
              </w:rPr>
              <w:t>Battery Chem, Autonomous Driving, Power Electronics</w:t>
            </w:r>
          </w:p>
        </w:tc>
        <w:tc>
          <w:tcPr>
            <w:tcW w:w="1987" w:type="dxa"/>
          </w:tcPr>
          <w:p w14:paraId="74F29101" w14:textId="77777777" w:rsidR="00324B7F" w:rsidRDefault="00000000">
            <w:pPr>
              <w:spacing w:before="40" w:after="40"/>
            </w:pPr>
            <w:r>
              <w:rPr>
                <w:rFonts w:ascii="Calibri" w:hAnsi="Calibri"/>
                <w:color w:val="0F172A"/>
                <w:sz w:val="18"/>
              </w:rPr>
              <w:t>Wolfsburg, Ingolstadt, Turin (Fiat/Stellantis)</w:t>
            </w:r>
          </w:p>
        </w:tc>
        <w:tc>
          <w:tcPr>
            <w:tcW w:w="1987" w:type="dxa"/>
          </w:tcPr>
          <w:p w14:paraId="18B1CE2C" w14:textId="77777777" w:rsidR="00324B7F" w:rsidRDefault="00000000">
            <w:pPr>
              <w:spacing w:before="40" w:after="40"/>
            </w:pPr>
            <w:r>
              <w:rPr>
                <w:rFonts w:ascii="Calibri" w:hAnsi="Calibri"/>
                <w:color w:val="0F172A"/>
                <w:sz w:val="18"/>
              </w:rPr>
              <w:t>€58,000 – €72,000 (~₹52L–₹65L)</w:t>
            </w:r>
          </w:p>
        </w:tc>
        <w:tc>
          <w:tcPr>
            <w:tcW w:w="1987" w:type="dxa"/>
          </w:tcPr>
          <w:p w14:paraId="783F3CBB" w14:textId="77777777" w:rsidR="00324B7F" w:rsidRDefault="00000000">
            <w:pPr>
              <w:spacing w:before="40" w:after="40"/>
            </w:pPr>
            <w:r>
              <w:rPr>
                <w:rFonts w:ascii="Calibri" w:hAnsi="Calibri"/>
                <w:color w:val="0F172A"/>
                <w:sz w:val="18"/>
              </w:rPr>
              <w:t>21 Months (PR Eligible)</w:t>
            </w:r>
          </w:p>
        </w:tc>
      </w:tr>
      <w:tr w:rsidR="00324B7F" w14:paraId="25261C0F" w14:textId="77777777">
        <w:trPr>
          <w:jc w:val="center"/>
        </w:trPr>
        <w:tc>
          <w:tcPr>
            <w:tcW w:w="1987" w:type="dxa"/>
          </w:tcPr>
          <w:p w14:paraId="6C4280DF" w14:textId="77777777" w:rsidR="00324B7F" w:rsidRDefault="00000000">
            <w:pPr>
              <w:spacing w:before="40" w:after="40"/>
            </w:pPr>
            <w:r>
              <w:rPr>
                <w:rFonts w:ascii="Calibri" w:hAnsi="Calibri"/>
                <w:color w:val="0F172A"/>
                <w:sz w:val="18"/>
              </w:rPr>
              <w:t>AI, Cloud &amp; Data Science</w:t>
            </w:r>
          </w:p>
        </w:tc>
        <w:tc>
          <w:tcPr>
            <w:tcW w:w="1987" w:type="dxa"/>
          </w:tcPr>
          <w:p w14:paraId="4E56DC74" w14:textId="77777777" w:rsidR="00324B7F" w:rsidRDefault="00000000">
            <w:pPr>
              <w:spacing w:before="40" w:after="40"/>
            </w:pPr>
            <w:r>
              <w:rPr>
                <w:rFonts w:ascii="Calibri" w:hAnsi="Calibri"/>
                <w:color w:val="0F172A"/>
                <w:sz w:val="18"/>
              </w:rPr>
              <w:t>ML Ops, Distributed Systems, Cyber Defense</w:t>
            </w:r>
          </w:p>
        </w:tc>
        <w:tc>
          <w:tcPr>
            <w:tcW w:w="1987" w:type="dxa"/>
          </w:tcPr>
          <w:p w14:paraId="75542847" w14:textId="77777777" w:rsidR="00324B7F" w:rsidRDefault="00000000">
            <w:pPr>
              <w:spacing w:before="40" w:after="40"/>
            </w:pPr>
            <w:r>
              <w:rPr>
                <w:rFonts w:ascii="Calibri" w:hAnsi="Calibri"/>
                <w:color w:val="0F172A"/>
                <w:sz w:val="18"/>
              </w:rPr>
              <w:t>Berlin, Frankfurt, Milan Tech Corridor</w:t>
            </w:r>
          </w:p>
        </w:tc>
        <w:tc>
          <w:tcPr>
            <w:tcW w:w="1987" w:type="dxa"/>
          </w:tcPr>
          <w:p w14:paraId="389A1957" w14:textId="77777777" w:rsidR="00324B7F" w:rsidRDefault="00000000">
            <w:pPr>
              <w:spacing w:before="40" w:after="40"/>
            </w:pPr>
            <w:r>
              <w:rPr>
                <w:rFonts w:ascii="Calibri" w:hAnsi="Calibri"/>
                <w:color w:val="0F172A"/>
                <w:sz w:val="18"/>
              </w:rPr>
              <w:t>€60,000 – €75,000 (~₹54L–₹68L)</w:t>
            </w:r>
          </w:p>
        </w:tc>
        <w:tc>
          <w:tcPr>
            <w:tcW w:w="1987" w:type="dxa"/>
          </w:tcPr>
          <w:p w14:paraId="0ACAE7AA" w14:textId="77777777" w:rsidR="00324B7F" w:rsidRDefault="00000000">
            <w:pPr>
              <w:spacing w:before="40" w:after="40"/>
            </w:pPr>
            <w:r>
              <w:rPr>
                <w:rFonts w:ascii="Calibri" w:hAnsi="Calibri"/>
                <w:color w:val="0F172A"/>
                <w:sz w:val="18"/>
              </w:rPr>
              <w:t>21 Months (PR Eligible)</w:t>
            </w:r>
          </w:p>
        </w:tc>
      </w:tr>
      <w:tr w:rsidR="00324B7F" w14:paraId="2C8A6DFC" w14:textId="77777777">
        <w:trPr>
          <w:jc w:val="center"/>
        </w:trPr>
        <w:tc>
          <w:tcPr>
            <w:tcW w:w="1987" w:type="dxa"/>
          </w:tcPr>
          <w:p w14:paraId="420F20E0" w14:textId="77777777" w:rsidR="00324B7F" w:rsidRDefault="00000000">
            <w:pPr>
              <w:spacing w:before="40" w:after="40"/>
            </w:pPr>
            <w:r>
              <w:rPr>
                <w:rFonts w:ascii="Calibri" w:hAnsi="Calibri"/>
                <w:color w:val="0F172A"/>
                <w:sz w:val="18"/>
              </w:rPr>
              <w:t>Renewable Energy &amp; Power</w:t>
            </w:r>
          </w:p>
        </w:tc>
        <w:tc>
          <w:tcPr>
            <w:tcW w:w="1987" w:type="dxa"/>
          </w:tcPr>
          <w:p w14:paraId="596CF868" w14:textId="77777777" w:rsidR="00324B7F" w:rsidRDefault="00000000">
            <w:pPr>
              <w:spacing w:before="40" w:after="40"/>
            </w:pPr>
            <w:r>
              <w:rPr>
                <w:rFonts w:ascii="Calibri" w:hAnsi="Calibri"/>
                <w:color w:val="0F172A"/>
                <w:sz w:val="18"/>
              </w:rPr>
              <w:t>Green Hydrogen, Solar Photovoltaics, Smart Grids</w:t>
            </w:r>
          </w:p>
        </w:tc>
        <w:tc>
          <w:tcPr>
            <w:tcW w:w="1987" w:type="dxa"/>
          </w:tcPr>
          <w:p w14:paraId="44828F1D" w14:textId="77777777" w:rsidR="00324B7F" w:rsidRDefault="00000000">
            <w:pPr>
              <w:spacing w:before="40" w:after="40"/>
            </w:pPr>
            <w:r>
              <w:rPr>
                <w:rFonts w:ascii="Calibri" w:hAnsi="Calibri"/>
                <w:color w:val="0F172A"/>
                <w:sz w:val="18"/>
              </w:rPr>
              <w:t>North Rhine-Westphalia, Hamburg, Vienna</w:t>
            </w:r>
          </w:p>
        </w:tc>
        <w:tc>
          <w:tcPr>
            <w:tcW w:w="1987" w:type="dxa"/>
          </w:tcPr>
          <w:p w14:paraId="5FB92380" w14:textId="77777777" w:rsidR="00324B7F" w:rsidRDefault="00000000">
            <w:pPr>
              <w:spacing w:before="40" w:after="40"/>
            </w:pPr>
            <w:r>
              <w:rPr>
                <w:rFonts w:ascii="Calibri" w:hAnsi="Calibri"/>
                <w:color w:val="0F172A"/>
                <w:sz w:val="18"/>
              </w:rPr>
              <w:t>€54,000 – €66,000 (~₹48L–₹59L)</w:t>
            </w:r>
          </w:p>
        </w:tc>
        <w:tc>
          <w:tcPr>
            <w:tcW w:w="1987" w:type="dxa"/>
          </w:tcPr>
          <w:p w14:paraId="5C93C8C7" w14:textId="77777777" w:rsidR="00324B7F" w:rsidRDefault="00000000">
            <w:pPr>
              <w:spacing w:before="40" w:after="40"/>
            </w:pPr>
            <w:r>
              <w:rPr>
                <w:rFonts w:ascii="Calibri" w:hAnsi="Calibri"/>
                <w:color w:val="0F172A"/>
                <w:sz w:val="18"/>
              </w:rPr>
              <w:t>21 Months (PR Eligible)</w:t>
            </w:r>
          </w:p>
        </w:tc>
      </w:tr>
      <w:tr w:rsidR="00324B7F" w14:paraId="04983EC0" w14:textId="77777777">
        <w:trPr>
          <w:jc w:val="center"/>
        </w:trPr>
        <w:tc>
          <w:tcPr>
            <w:tcW w:w="1987" w:type="dxa"/>
          </w:tcPr>
          <w:p w14:paraId="55AA2168" w14:textId="77777777" w:rsidR="00324B7F" w:rsidRDefault="00000000">
            <w:pPr>
              <w:spacing w:before="40" w:after="40"/>
            </w:pPr>
            <w:r>
              <w:rPr>
                <w:rFonts w:ascii="Calibri" w:hAnsi="Calibri"/>
                <w:color w:val="0F172A"/>
                <w:sz w:val="18"/>
              </w:rPr>
              <w:t>Medicine &amp; Clinical Care</w:t>
            </w:r>
          </w:p>
        </w:tc>
        <w:tc>
          <w:tcPr>
            <w:tcW w:w="1987" w:type="dxa"/>
          </w:tcPr>
          <w:p w14:paraId="7AD069D8" w14:textId="77777777" w:rsidR="00324B7F" w:rsidRDefault="00000000">
            <w:pPr>
              <w:spacing w:before="40" w:after="40"/>
            </w:pPr>
            <w:r>
              <w:rPr>
                <w:rFonts w:ascii="Calibri" w:hAnsi="Calibri"/>
                <w:color w:val="0F172A"/>
                <w:sz w:val="18"/>
              </w:rPr>
              <w:t>NMC FMGL-Compliant MBBS, Specialist Residency</w:t>
            </w:r>
          </w:p>
        </w:tc>
        <w:tc>
          <w:tcPr>
            <w:tcW w:w="1987" w:type="dxa"/>
          </w:tcPr>
          <w:p w14:paraId="28798638" w14:textId="77777777" w:rsidR="00324B7F" w:rsidRDefault="00000000">
            <w:pPr>
              <w:spacing w:before="40" w:after="40"/>
            </w:pPr>
            <w:r>
              <w:rPr>
                <w:rFonts w:ascii="Calibri" w:hAnsi="Calibri"/>
                <w:color w:val="0F172A"/>
                <w:sz w:val="18"/>
              </w:rPr>
              <w:t>Public University Hospitals across Germany &amp; Italy</w:t>
            </w:r>
          </w:p>
        </w:tc>
        <w:tc>
          <w:tcPr>
            <w:tcW w:w="1987" w:type="dxa"/>
          </w:tcPr>
          <w:p w14:paraId="591EEAD5" w14:textId="77777777" w:rsidR="00324B7F" w:rsidRDefault="00000000">
            <w:pPr>
              <w:spacing w:before="40" w:after="40"/>
            </w:pPr>
            <w:r>
              <w:rPr>
                <w:rFonts w:ascii="Calibri" w:hAnsi="Calibri"/>
                <w:color w:val="0F172A"/>
                <w:sz w:val="18"/>
              </w:rPr>
              <w:t>€62,000 – €80,000 (~₹56L–₹72L)</w:t>
            </w:r>
          </w:p>
        </w:tc>
        <w:tc>
          <w:tcPr>
            <w:tcW w:w="1987" w:type="dxa"/>
          </w:tcPr>
          <w:p w14:paraId="1223DB14" w14:textId="77777777" w:rsidR="00324B7F" w:rsidRDefault="00000000">
            <w:pPr>
              <w:spacing w:before="40" w:after="40"/>
            </w:pPr>
            <w:r>
              <w:rPr>
                <w:rFonts w:ascii="Calibri" w:hAnsi="Calibri"/>
                <w:color w:val="0F172A"/>
                <w:sz w:val="18"/>
              </w:rPr>
              <w:t>Direct Clinical License + PR</w:t>
            </w:r>
          </w:p>
        </w:tc>
      </w:tr>
      <w:tr w:rsidR="00324B7F" w14:paraId="2896AD7F" w14:textId="77777777">
        <w:trPr>
          <w:jc w:val="center"/>
        </w:trPr>
        <w:tc>
          <w:tcPr>
            <w:tcW w:w="1987" w:type="dxa"/>
          </w:tcPr>
          <w:p w14:paraId="5FABECDE" w14:textId="77777777" w:rsidR="00324B7F" w:rsidRDefault="00000000">
            <w:pPr>
              <w:spacing w:before="40" w:after="40"/>
            </w:pPr>
            <w:r>
              <w:rPr>
                <w:rFonts w:ascii="Calibri" w:hAnsi="Calibri"/>
                <w:color w:val="0F172A"/>
                <w:sz w:val="18"/>
              </w:rPr>
              <w:t>Supply Chain &amp; Industrial Mgmt</w:t>
            </w:r>
          </w:p>
        </w:tc>
        <w:tc>
          <w:tcPr>
            <w:tcW w:w="1987" w:type="dxa"/>
          </w:tcPr>
          <w:p w14:paraId="61AAE56D" w14:textId="77777777" w:rsidR="00324B7F" w:rsidRDefault="00000000">
            <w:pPr>
              <w:spacing w:before="40" w:after="40"/>
            </w:pPr>
            <w:r>
              <w:rPr>
                <w:rFonts w:ascii="Calibri" w:hAnsi="Calibri"/>
                <w:color w:val="0F172A"/>
                <w:sz w:val="18"/>
              </w:rPr>
              <w:t>Quantitative Logistics, Operations Research</w:t>
            </w:r>
          </w:p>
        </w:tc>
        <w:tc>
          <w:tcPr>
            <w:tcW w:w="1987" w:type="dxa"/>
          </w:tcPr>
          <w:p w14:paraId="74306C33" w14:textId="77777777" w:rsidR="00324B7F" w:rsidRDefault="00000000">
            <w:pPr>
              <w:spacing w:before="40" w:after="40"/>
            </w:pPr>
            <w:r>
              <w:rPr>
                <w:rFonts w:ascii="Calibri" w:hAnsi="Calibri"/>
                <w:color w:val="0F172A"/>
                <w:sz w:val="18"/>
              </w:rPr>
              <w:t>Emilia-Romagna (Bologna), Rotterdam, Munich</w:t>
            </w:r>
          </w:p>
        </w:tc>
        <w:tc>
          <w:tcPr>
            <w:tcW w:w="1987" w:type="dxa"/>
          </w:tcPr>
          <w:p w14:paraId="00B3C60F" w14:textId="77777777" w:rsidR="00324B7F" w:rsidRDefault="00000000">
            <w:pPr>
              <w:spacing w:before="40" w:after="40"/>
            </w:pPr>
            <w:r>
              <w:rPr>
                <w:rFonts w:ascii="Calibri" w:hAnsi="Calibri"/>
                <w:color w:val="0F172A"/>
                <w:sz w:val="18"/>
              </w:rPr>
              <w:t>€52,000 – €64,000 (~₹46L–₹57L)</w:t>
            </w:r>
          </w:p>
        </w:tc>
        <w:tc>
          <w:tcPr>
            <w:tcW w:w="1987" w:type="dxa"/>
          </w:tcPr>
          <w:p w14:paraId="0BC1E5B9" w14:textId="77777777" w:rsidR="00324B7F" w:rsidRDefault="00000000">
            <w:pPr>
              <w:spacing w:before="40" w:after="40"/>
            </w:pPr>
            <w:r>
              <w:rPr>
                <w:rFonts w:ascii="Calibri" w:hAnsi="Calibri"/>
                <w:color w:val="0F172A"/>
                <w:sz w:val="18"/>
              </w:rPr>
              <w:t>21–24 Months (PR Eligible)</w:t>
            </w:r>
          </w:p>
        </w:tc>
      </w:tr>
    </w:tbl>
    <w:p w14:paraId="378AA476" w14:textId="520C4B7E" w:rsidR="00324B7F" w:rsidRDefault="00324B7F">
      <w:pPr>
        <w:spacing w:before="40" w:after="120"/>
      </w:pPr>
    </w:p>
    <w:p w14:paraId="5CD4115A" w14:textId="77777777" w:rsidR="00324B7F" w:rsidRDefault="00000000">
      <w:pPr>
        <w:spacing w:before="320" w:after="120"/>
      </w:pPr>
      <w:r>
        <w:rPr>
          <w:rFonts w:ascii="Calibri" w:hAnsi="Calibri"/>
          <w:b/>
          <w:color w:val="0F766E"/>
          <w:sz w:val="27"/>
        </w:rPr>
        <w:t>7. Lifetime Wealth &amp; Debt Amortization Modeling: The ₹50-Lakh Difference</w:t>
      </w:r>
    </w:p>
    <w:p w14:paraId="4EAAA0FB" w14:textId="77777777" w:rsidR="00324B7F" w:rsidRDefault="00000000">
      <w:pPr>
        <w:spacing w:before="40" w:after="120"/>
      </w:pPr>
      <w:r>
        <w:rPr>
          <w:rFonts w:ascii="Calibri" w:hAnsi="Calibri"/>
          <w:color w:val="0F172A"/>
          <w:sz w:val="20"/>
        </w:rPr>
        <w:t>To appreciate the generational wealth impact of demographic arbitrage, compare two distinct trajectories for an Indian middle-class candidate graduating in 2028:</w:t>
      </w:r>
    </w:p>
    <w:p w14:paraId="35A27C46" w14:textId="77777777" w:rsidR="0098272F" w:rsidRDefault="0098272F">
      <w:pPr>
        <w:rPr>
          <w:rFonts w:ascii="Calibri" w:hAnsi="Calibri"/>
          <w:b/>
          <w:color w:val="0F172A"/>
          <w:sz w:val="23"/>
        </w:rPr>
      </w:pPr>
      <w:r>
        <w:rPr>
          <w:rFonts w:ascii="Calibri" w:hAnsi="Calibri"/>
          <w:b/>
          <w:color w:val="0F172A"/>
          <w:sz w:val="23"/>
        </w:rPr>
        <w:br w:type="page"/>
      </w:r>
    </w:p>
    <w:p w14:paraId="02EE9D9F" w14:textId="20FA191F" w:rsidR="00324B7F" w:rsidRDefault="00000000">
      <w:pPr>
        <w:spacing w:before="240" w:after="80"/>
      </w:pPr>
      <w:r>
        <w:rPr>
          <w:rFonts w:ascii="Calibri" w:hAnsi="Calibri"/>
          <w:b/>
          <w:color w:val="0F172A"/>
          <w:sz w:val="23"/>
        </w:rPr>
        <w:lastRenderedPageBreak/>
        <w:t xml:space="preserve"> 10-Year Cumulative Financial Trajectory: Private Anglo-Saxon vs. Sovereign European</w:t>
      </w:r>
    </w:p>
    <w:tbl>
      <w:tblPr>
        <w:tblW w:w="0" w:type="auto"/>
        <w:jc w:val="center"/>
        <w:tblLayout w:type="fixed"/>
        <w:tblLook w:val="04A0" w:firstRow="1" w:lastRow="0" w:firstColumn="1" w:lastColumn="0" w:noHBand="0" w:noVBand="1"/>
      </w:tblPr>
      <w:tblGrid>
        <w:gridCol w:w="2484"/>
        <w:gridCol w:w="2484"/>
        <w:gridCol w:w="2484"/>
        <w:gridCol w:w="2484"/>
      </w:tblGrid>
      <w:tr w:rsidR="00324B7F" w14:paraId="18D509A2" w14:textId="77777777">
        <w:trPr>
          <w:jc w:val="center"/>
        </w:trPr>
        <w:tc>
          <w:tcPr>
            <w:tcW w:w="2484" w:type="dxa"/>
            <w:shd w:val="clear" w:color="auto" w:fill="0F172A"/>
          </w:tcPr>
          <w:p w14:paraId="17218779" w14:textId="77777777" w:rsidR="00324B7F" w:rsidRDefault="00000000">
            <w:pPr>
              <w:spacing w:before="40" w:after="40"/>
            </w:pPr>
            <w:r>
              <w:rPr>
                <w:rFonts w:ascii="Calibri" w:hAnsi="Calibri"/>
                <w:b/>
                <w:color w:val="FFFFFF"/>
                <w:sz w:val="18"/>
              </w:rPr>
              <w:t>Financial Metric (10-Year Horizon)</w:t>
            </w:r>
          </w:p>
        </w:tc>
        <w:tc>
          <w:tcPr>
            <w:tcW w:w="2484" w:type="dxa"/>
            <w:shd w:val="clear" w:color="auto" w:fill="0F172A"/>
          </w:tcPr>
          <w:p w14:paraId="7C56F4F6" w14:textId="77777777" w:rsidR="00324B7F" w:rsidRDefault="00000000">
            <w:pPr>
              <w:spacing w:before="40" w:after="40"/>
            </w:pPr>
            <w:r>
              <w:rPr>
                <w:rFonts w:ascii="Calibri" w:hAnsi="Calibri"/>
                <w:b/>
                <w:color w:val="FFFFFF"/>
                <w:sz w:val="18"/>
              </w:rPr>
              <w:t>Scenario A: Anglo-Saxon Debt Model (Canada / UK)</w:t>
            </w:r>
          </w:p>
        </w:tc>
        <w:tc>
          <w:tcPr>
            <w:tcW w:w="2484" w:type="dxa"/>
            <w:shd w:val="clear" w:color="auto" w:fill="0F172A"/>
          </w:tcPr>
          <w:p w14:paraId="2F008791" w14:textId="77777777" w:rsidR="00324B7F" w:rsidRDefault="00000000">
            <w:pPr>
              <w:spacing w:before="40" w:after="40"/>
            </w:pPr>
            <w:r>
              <w:rPr>
                <w:rFonts w:ascii="Calibri" w:hAnsi="Calibri"/>
                <w:b/>
                <w:color w:val="FFFFFF"/>
                <w:sz w:val="18"/>
              </w:rPr>
              <w:t>Scenario B: Sovereign European Model (Germany / Italy)</w:t>
            </w:r>
          </w:p>
        </w:tc>
        <w:tc>
          <w:tcPr>
            <w:tcW w:w="2484" w:type="dxa"/>
            <w:shd w:val="clear" w:color="auto" w:fill="0F172A"/>
          </w:tcPr>
          <w:p w14:paraId="425D8571" w14:textId="77777777" w:rsidR="00324B7F" w:rsidRDefault="00000000">
            <w:pPr>
              <w:spacing w:before="40" w:after="40"/>
            </w:pPr>
            <w:r>
              <w:rPr>
                <w:rFonts w:ascii="Calibri" w:hAnsi="Calibri"/>
                <w:b/>
                <w:color w:val="FFFFFF"/>
                <w:sz w:val="18"/>
              </w:rPr>
              <w:t>Financial Advantage of European Path</w:t>
            </w:r>
          </w:p>
        </w:tc>
      </w:tr>
      <w:tr w:rsidR="00324B7F" w14:paraId="77F48641" w14:textId="77777777">
        <w:trPr>
          <w:jc w:val="center"/>
        </w:trPr>
        <w:tc>
          <w:tcPr>
            <w:tcW w:w="2484" w:type="dxa"/>
          </w:tcPr>
          <w:p w14:paraId="3FDF4D90" w14:textId="77777777" w:rsidR="00324B7F" w:rsidRDefault="00000000">
            <w:pPr>
              <w:spacing w:before="40" w:after="40"/>
            </w:pPr>
            <w:r>
              <w:rPr>
                <w:rFonts w:ascii="Calibri" w:hAnsi="Calibri"/>
                <w:color w:val="0F172A"/>
                <w:sz w:val="18"/>
              </w:rPr>
              <w:t>Initial Student Loan Incurred</w:t>
            </w:r>
          </w:p>
        </w:tc>
        <w:tc>
          <w:tcPr>
            <w:tcW w:w="2484" w:type="dxa"/>
          </w:tcPr>
          <w:p w14:paraId="74AF729D" w14:textId="77777777" w:rsidR="00324B7F" w:rsidRDefault="00000000">
            <w:pPr>
              <w:spacing w:before="40" w:after="40"/>
            </w:pPr>
            <w:r>
              <w:rPr>
                <w:rFonts w:ascii="Calibri" w:hAnsi="Calibri"/>
                <w:color w:val="0F172A"/>
                <w:sz w:val="18"/>
              </w:rPr>
              <w:t>₹50,00,000 (13.5% Floating NBFC Debt)</w:t>
            </w:r>
          </w:p>
        </w:tc>
        <w:tc>
          <w:tcPr>
            <w:tcW w:w="2484" w:type="dxa"/>
          </w:tcPr>
          <w:p w14:paraId="09CCE10E" w14:textId="77777777" w:rsidR="00324B7F" w:rsidRDefault="00000000">
            <w:pPr>
              <w:spacing w:before="40" w:after="40"/>
            </w:pPr>
            <w:r>
              <w:rPr>
                <w:rFonts w:ascii="Calibri" w:hAnsi="Calibri"/>
                <w:color w:val="0F172A"/>
                <w:sz w:val="18"/>
              </w:rPr>
              <w:t>₹0 (Zero Tuition + Family Savings / DSU)</w:t>
            </w:r>
          </w:p>
        </w:tc>
        <w:tc>
          <w:tcPr>
            <w:tcW w:w="2484" w:type="dxa"/>
          </w:tcPr>
          <w:p w14:paraId="13E29ED8" w14:textId="77777777" w:rsidR="00324B7F" w:rsidRDefault="00000000">
            <w:pPr>
              <w:spacing w:before="40" w:after="40"/>
            </w:pPr>
            <w:r>
              <w:rPr>
                <w:rFonts w:ascii="Calibri" w:hAnsi="Calibri"/>
                <w:color w:val="0F172A"/>
                <w:sz w:val="18"/>
              </w:rPr>
              <w:t>+ ₹50,00,000 Debt Avoided</w:t>
            </w:r>
          </w:p>
        </w:tc>
      </w:tr>
      <w:tr w:rsidR="00324B7F" w14:paraId="61223D23" w14:textId="77777777">
        <w:trPr>
          <w:jc w:val="center"/>
        </w:trPr>
        <w:tc>
          <w:tcPr>
            <w:tcW w:w="2484" w:type="dxa"/>
          </w:tcPr>
          <w:p w14:paraId="7ACF57E2" w14:textId="77777777" w:rsidR="00324B7F" w:rsidRDefault="00000000">
            <w:pPr>
              <w:spacing w:before="40" w:after="40"/>
            </w:pPr>
            <w:r>
              <w:rPr>
                <w:rFonts w:ascii="Calibri" w:hAnsi="Calibri"/>
                <w:color w:val="0F172A"/>
                <w:sz w:val="18"/>
              </w:rPr>
              <w:t>Total Debt Repayment Outlay (10 Yrs)</w:t>
            </w:r>
          </w:p>
        </w:tc>
        <w:tc>
          <w:tcPr>
            <w:tcW w:w="2484" w:type="dxa"/>
          </w:tcPr>
          <w:p w14:paraId="7F6B6512" w14:textId="77777777" w:rsidR="00324B7F" w:rsidRDefault="00000000">
            <w:pPr>
              <w:spacing w:before="40" w:after="40"/>
            </w:pPr>
            <w:r>
              <w:rPr>
                <w:rFonts w:ascii="Calibri" w:hAnsi="Calibri"/>
                <w:color w:val="0F172A"/>
                <w:sz w:val="18"/>
              </w:rPr>
              <w:t>₹91,32,000 (₹76,100 / mo EMI for 120 mos)</w:t>
            </w:r>
          </w:p>
        </w:tc>
        <w:tc>
          <w:tcPr>
            <w:tcW w:w="2484" w:type="dxa"/>
          </w:tcPr>
          <w:p w14:paraId="56115A00" w14:textId="77777777" w:rsidR="00324B7F" w:rsidRDefault="00000000">
            <w:pPr>
              <w:spacing w:before="40" w:after="40"/>
            </w:pPr>
            <w:r>
              <w:rPr>
                <w:rFonts w:ascii="Calibri" w:hAnsi="Calibri"/>
                <w:color w:val="0F172A"/>
                <w:sz w:val="18"/>
              </w:rPr>
              <w:t>₹0 (No EMI obligations)</w:t>
            </w:r>
          </w:p>
        </w:tc>
        <w:tc>
          <w:tcPr>
            <w:tcW w:w="2484" w:type="dxa"/>
          </w:tcPr>
          <w:p w14:paraId="72B69294" w14:textId="77777777" w:rsidR="00324B7F" w:rsidRDefault="00000000">
            <w:pPr>
              <w:spacing w:before="40" w:after="40"/>
            </w:pPr>
            <w:r>
              <w:rPr>
                <w:rFonts w:ascii="Calibri" w:hAnsi="Calibri"/>
                <w:color w:val="0F172A"/>
                <w:sz w:val="18"/>
              </w:rPr>
              <w:t>+ ₹91,32,000 Capital Retained</w:t>
            </w:r>
          </w:p>
        </w:tc>
      </w:tr>
      <w:tr w:rsidR="00324B7F" w14:paraId="4DD0C1EC" w14:textId="77777777">
        <w:trPr>
          <w:jc w:val="center"/>
        </w:trPr>
        <w:tc>
          <w:tcPr>
            <w:tcW w:w="2484" w:type="dxa"/>
          </w:tcPr>
          <w:p w14:paraId="79904DD7" w14:textId="77777777" w:rsidR="00324B7F" w:rsidRDefault="00000000">
            <w:pPr>
              <w:spacing w:before="40" w:after="40"/>
            </w:pPr>
            <w:r>
              <w:rPr>
                <w:rFonts w:ascii="Calibri" w:hAnsi="Calibri"/>
                <w:color w:val="0F172A"/>
                <w:sz w:val="18"/>
              </w:rPr>
              <w:t>Direct Living Stipends Received</w:t>
            </w:r>
          </w:p>
        </w:tc>
        <w:tc>
          <w:tcPr>
            <w:tcW w:w="2484" w:type="dxa"/>
          </w:tcPr>
          <w:p w14:paraId="3007210D" w14:textId="77777777" w:rsidR="00324B7F" w:rsidRDefault="00000000">
            <w:pPr>
              <w:spacing w:before="40" w:after="40"/>
            </w:pPr>
            <w:r>
              <w:rPr>
                <w:rFonts w:ascii="Calibri" w:hAnsi="Calibri"/>
                <w:color w:val="0F172A"/>
                <w:sz w:val="18"/>
              </w:rPr>
              <w:t>₹0</w:t>
            </w:r>
          </w:p>
        </w:tc>
        <w:tc>
          <w:tcPr>
            <w:tcW w:w="2484" w:type="dxa"/>
          </w:tcPr>
          <w:p w14:paraId="1C8BB196" w14:textId="77777777" w:rsidR="00324B7F" w:rsidRDefault="00000000">
            <w:pPr>
              <w:spacing w:before="40" w:after="40"/>
            </w:pPr>
            <w:r>
              <w:rPr>
                <w:rFonts w:ascii="Calibri" w:hAnsi="Calibri"/>
                <w:color w:val="0F172A"/>
                <w:sz w:val="18"/>
              </w:rPr>
              <w:t>+ €17,000 (~₹15.5 Lakhs via 2-Yr DSU)</w:t>
            </w:r>
          </w:p>
        </w:tc>
        <w:tc>
          <w:tcPr>
            <w:tcW w:w="2484" w:type="dxa"/>
          </w:tcPr>
          <w:p w14:paraId="3628945F" w14:textId="77777777" w:rsidR="00324B7F" w:rsidRDefault="00000000">
            <w:pPr>
              <w:spacing w:before="40" w:after="40"/>
            </w:pPr>
            <w:r>
              <w:rPr>
                <w:rFonts w:ascii="Calibri" w:hAnsi="Calibri"/>
                <w:color w:val="0F172A"/>
                <w:sz w:val="18"/>
              </w:rPr>
              <w:t>+ ₹15,50,000 Cash Support</w:t>
            </w:r>
          </w:p>
        </w:tc>
      </w:tr>
      <w:tr w:rsidR="00324B7F" w14:paraId="5902FED4" w14:textId="77777777">
        <w:trPr>
          <w:jc w:val="center"/>
        </w:trPr>
        <w:tc>
          <w:tcPr>
            <w:tcW w:w="2484" w:type="dxa"/>
          </w:tcPr>
          <w:p w14:paraId="5CAC6A87" w14:textId="77777777" w:rsidR="00324B7F" w:rsidRDefault="00000000">
            <w:pPr>
              <w:spacing w:before="40" w:after="40"/>
            </w:pPr>
            <w:r>
              <w:rPr>
                <w:rFonts w:ascii="Calibri" w:hAnsi="Calibri"/>
                <w:color w:val="0F172A"/>
                <w:sz w:val="18"/>
              </w:rPr>
              <w:t>Starting Annual Compensation</w:t>
            </w:r>
          </w:p>
        </w:tc>
        <w:tc>
          <w:tcPr>
            <w:tcW w:w="2484" w:type="dxa"/>
          </w:tcPr>
          <w:p w14:paraId="5D7F972E" w14:textId="77777777" w:rsidR="00324B7F" w:rsidRDefault="00000000">
            <w:pPr>
              <w:spacing w:before="40" w:after="40"/>
            </w:pPr>
            <w:r>
              <w:rPr>
                <w:rFonts w:ascii="Calibri" w:hAnsi="Calibri"/>
                <w:color w:val="0F172A"/>
                <w:sz w:val="18"/>
              </w:rPr>
              <w:t>£30,000 (~₹32L) or $55,000 CAD (~₹34L)</w:t>
            </w:r>
          </w:p>
        </w:tc>
        <w:tc>
          <w:tcPr>
            <w:tcW w:w="2484" w:type="dxa"/>
          </w:tcPr>
          <w:p w14:paraId="02D7AD43" w14:textId="77777777" w:rsidR="00324B7F" w:rsidRDefault="00000000">
            <w:pPr>
              <w:spacing w:before="40" w:after="40"/>
            </w:pPr>
            <w:r>
              <w:rPr>
                <w:rFonts w:ascii="Calibri" w:hAnsi="Calibri"/>
                <w:color w:val="0F172A"/>
                <w:sz w:val="18"/>
              </w:rPr>
              <w:t>€58,000 to €65,000 (~₹52L to ₹58L INR)</w:t>
            </w:r>
          </w:p>
        </w:tc>
        <w:tc>
          <w:tcPr>
            <w:tcW w:w="2484" w:type="dxa"/>
          </w:tcPr>
          <w:p w14:paraId="271E85E2" w14:textId="77777777" w:rsidR="00324B7F" w:rsidRDefault="00000000">
            <w:pPr>
              <w:spacing w:before="40" w:after="40"/>
            </w:pPr>
            <w:r>
              <w:rPr>
                <w:rFonts w:ascii="Calibri" w:hAnsi="Calibri"/>
                <w:color w:val="0F172A"/>
                <w:sz w:val="18"/>
              </w:rPr>
              <w:t>+ ₹18L to ₹24L Higher Base</w:t>
            </w:r>
          </w:p>
        </w:tc>
      </w:tr>
      <w:tr w:rsidR="00324B7F" w14:paraId="097F3609" w14:textId="77777777">
        <w:trPr>
          <w:jc w:val="center"/>
        </w:trPr>
        <w:tc>
          <w:tcPr>
            <w:tcW w:w="2484" w:type="dxa"/>
          </w:tcPr>
          <w:p w14:paraId="62F6DFAF" w14:textId="77777777" w:rsidR="00324B7F" w:rsidRDefault="00000000">
            <w:pPr>
              <w:spacing w:before="40" w:after="40"/>
            </w:pPr>
            <w:r>
              <w:rPr>
                <w:rFonts w:ascii="Calibri" w:hAnsi="Calibri"/>
                <w:color w:val="0F172A"/>
                <w:sz w:val="18"/>
              </w:rPr>
              <w:t>Visa / Settlement Security</w:t>
            </w:r>
          </w:p>
        </w:tc>
        <w:tc>
          <w:tcPr>
            <w:tcW w:w="2484" w:type="dxa"/>
          </w:tcPr>
          <w:p w14:paraId="33F02028" w14:textId="77777777" w:rsidR="00324B7F" w:rsidRDefault="00000000">
            <w:pPr>
              <w:spacing w:before="40" w:after="40"/>
            </w:pPr>
            <w:r>
              <w:rPr>
                <w:rFonts w:ascii="Calibri" w:hAnsi="Calibri"/>
                <w:color w:val="0F172A"/>
                <w:sz w:val="18"/>
              </w:rPr>
              <w:t>High Risk (£38,700 threshold; CRS points cap)</w:t>
            </w:r>
          </w:p>
        </w:tc>
        <w:tc>
          <w:tcPr>
            <w:tcW w:w="2484" w:type="dxa"/>
          </w:tcPr>
          <w:p w14:paraId="1E0E615F" w14:textId="77777777" w:rsidR="00324B7F" w:rsidRDefault="00000000">
            <w:pPr>
              <w:spacing w:before="40" w:after="40"/>
            </w:pPr>
            <w:r>
              <w:rPr>
                <w:rFonts w:ascii="Calibri" w:hAnsi="Calibri"/>
                <w:color w:val="0F172A"/>
                <w:sz w:val="18"/>
              </w:rPr>
              <w:t>Guaranteed PR in 21 Months (Skilled Act)</w:t>
            </w:r>
          </w:p>
        </w:tc>
        <w:tc>
          <w:tcPr>
            <w:tcW w:w="2484" w:type="dxa"/>
          </w:tcPr>
          <w:p w14:paraId="28BA2DE3" w14:textId="77777777" w:rsidR="00324B7F" w:rsidRDefault="00000000">
            <w:pPr>
              <w:spacing w:before="40" w:after="40"/>
            </w:pPr>
            <w:r>
              <w:rPr>
                <w:rFonts w:ascii="Calibri" w:hAnsi="Calibri"/>
                <w:color w:val="0F172A"/>
                <w:sz w:val="18"/>
              </w:rPr>
              <w:t>Permanent Sovereign Residency</w:t>
            </w:r>
          </w:p>
        </w:tc>
      </w:tr>
      <w:tr w:rsidR="00324B7F" w14:paraId="2AF8FEF5" w14:textId="77777777">
        <w:trPr>
          <w:jc w:val="center"/>
        </w:trPr>
        <w:tc>
          <w:tcPr>
            <w:tcW w:w="2484" w:type="dxa"/>
          </w:tcPr>
          <w:p w14:paraId="70489F34" w14:textId="77777777" w:rsidR="00324B7F" w:rsidRDefault="00000000">
            <w:pPr>
              <w:spacing w:before="40" w:after="40"/>
            </w:pPr>
            <w:r>
              <w:rPr>
                <w:rFonts w:ascii="Calibri" w:hAnsi="Calibri"/>
                <w:color w:val="0F172A"/>
                <w:sz w:val="18"/>
              </w:rPr>
              <w:t>10-Year Net Wealth Accumulated</w:t>
            </w:r>
          </w:p>
        </w:tc>
        <w:tc>
          <w:tcPr>
            <w:tcW w:w="2484" w:type="dxa"/>
          </w:tcPr>
          <w:p w14:paraId="2D1086FA" w14:textId="77777777" w:rsidR="00324B7F" w:rsidRDefault="00000000">
            <w:pPr>
              <w:spacing w:before="40" w:after="40"/>
            </w:pPr>
            <w:r>
              <w:rPr>
                <w:rFonts w:ascii="Calibri" w:hAnsi="Calibri"/>
                <w:color w:val="0F172A"/>
                <w:sz w:val="18"/>
              </w:rPr>
              <w:t>Negative ₹15 Lakhs to +₹10 Lakhs</w:t>
            </w:r>
          </w:p>
        </w:tc>
        <w:tc>
          <w:tcPr>
            <w:tcW w:w="2484" w:type="dxa"/>
          </w:tcPr>
          <w:p w14:paraId="6E16ECAD" w14:textId="77777777" w:rsidR="00324B7F" w:rsidRDefault="00000000">
            <w:pPr>
              <w:spacing w:before="40" w:after="40"/>
            </w:pPr>
            <w:r>
              <w:rPr>
                <w:rFonts w:ascii="Calibri" w:hAnsi="Calibri"/>
                <w:color w:val="0F172A"/>
                <w:sz w:val="18"/>
              </w:rPr>
              <w:t>+ ₹1.2 Crore to + ₹1.8 Crore</w:t>
            </w:r>
          </w:p>
        </w:tc>
        <w:tc>
          <w:tcPr>
            <w:tcW w:w="2484" w:type="dxa"/>
          </w:tcPr>
          <w:p w14:paraId="00828A1C" w14:textId="77777777" w:rsidR="00324B7F" w:rsidRDefault="00000000">
            <w:pPr>
              <w:spacing w:before="40" w:after="40"/>
            </w:pPr>
            <w:r>
              <w:rPr>
                <w:rFonts w:ascii="Calibri" w:hAnsi="Calibri"/>
                <w:color w:val="0F172A"/>
                <w:sz w:val="18"/>
              </w:rPr>
              <w:t>+ ₹1.1+ Crore Net Net Advantage</w:t>
            </w:r>
          </w:p>
        </w:tc>
      </w:tr>
    </w:tbl>
    <w:p w14:paraId="2D59CBFB" w14:textId="77777777" w:rsidR="00324B7F" w:rsidRDefault="00000000">
      <w:pPr>
        <w:spacing w:before="40" w:after="120"/>
      </w:pPr>
      <w:r>
        <w:rPr>
          <w:rFonts w:ascii="Calibri" w:hAnsi="Calibri"/>
          <w:color w:val="0F172A"/>
          <w:sz w:val="20"/>
        </w:rPr>
        <w:t>---</w:t>
      </w:r>
    </w:p>
    <w:p w14:paraId="68F32C64" w14:textId="77777777" w:rsidR="00324B7F" w:rsidRDefault="00000000">
      <w:pPr>
        <w:spacing w:before="320" w:after="120"/>
      </w:pPr>
      <w:r>
        <w:rPr>
          <w:rFonts w:ascii="Calibri" w:hAnsi="Calibri"/>
          <w:b/>
          <w:color w:val="0F766E"/>
          <w:sz w:val="27"/>
        </w:rPr>
        <w:t>8. The 2026 Student Execution Roadmap: The Finesse Advisory Protocol</w:t>
      </w:r>
    </w:p>
    <w:p w14:paraId="53FAF678" w14:textId="77777777" w:rsidR="00324B7F" w:rsidRDefault="00000000">
      <w:pPr>
        <w:spacing w:before="40" w:after="120"/>
      </w:pPr>
      <w:r>
        <w:rPr>
          <w:rFonts w:ascii="Calibri" w:hAnsi="Calibri"/>
          <w:color w:val="0F172A"/>
          <w:sz w:val="20"/>
        </w:rPr>
        <w:t>To capitalize on Europe's demographic crisis while the policy window remains wide open, candidates must bypass unaccredited private agents and execute their applications through official sovereign channels:</w:t>
      </w:r>
    </w:p>
    <w:p w14:paraId="5DCE3E98" w14:textId="3586643E" w:rsidR="00324B7F" w:rsidRDefault="00000000">
      <w:pPr>
        <w:spacing w:before="240" w:after="80"/>
      </w:pPr>
      <w:r>
        <w:rPr>
          <w:rFonts w:ascii="Calibri" w:hAnsi="Calibri"/>
          <w:b/>
          <w:color w:val="0F172A"/>
          <w:sz w:val="23"/>
        </w:rPr>
        <w:t xml:space="preserve"> Step-by-Step Strategic Roadmap for Indian Students:</w:t>
      </w:r>
    </w:p>
    <w:p w14:paraId="4C4447BA" w14:textId="77777777" w:rsidR="00324B7F" w:rsidRDefault="00000000">
      <w:pPr>
        <w:spacing w:before="40" w:after="120"/>
      </w:pPr>
      <w:r>
        <w:rPr>
          <w:rFonts w:ascii="Calibri" w:hAnsi="Calibri"/>
          <w:color w:val="0F172A"/>
          <w:sz w:val="20"/>
        </w:rPr>
        <w:t>1. Step 1: Academic Verification Gate (Akademische Prüfstelle - APS New Delhi)</w:t>
      </w:r>
    </w:p>
    <w:p w14:paraId="728083BB"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Every Indian candidate targeting German public universities must obtain an authentic APS Certificate.</w:t>
      </w:r>
    </w:p>
    <w:p w14:paraId="474AA2FB"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Finesse Overseas assists students with direct document auditing, transcript legalization, and fast-track submission to avoid processing bottlenecks.</w:t>
      </w:r>
    </w:p>
    <w:p w14:paraId="155B4F61" w14:textId="77777777" w:rsidR="00324B7F" w:rsidRDefault="00000000">
      <w:pPr>
        <w:spacing w:before="40" w:after="120"/>
      </w:pPr>
      <w:r>
        <w:rPr>
          <w:rFonts w:ascii="Calibri" w:hAnsi="Calibri"/>
          <w:color w:val="0F172A"/>
          <w:sz w:val="20"/>
        </w:rPr>
        <w:t>2. Step 2: University Selection &amp; Zero-Tuition Public Filtering</w:t>
      </w:r>
    </w:p>
    <w:p w14:paraId="6B00E7B2"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Filter strictly for Staatliche Hochschulen (Public State Universities) via the DAAD and Universitaly databases.</w:t>
      </w:r>
    </w:p>
    <w:p w14:paraId="1CC57EFE"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Reject all commercial private branch campuses that charge €10,000+ tuition under English-sounding brand names.</w:t>
      </w:r>
    </w:p>
    <w:p w14:paraId="5FA59C54" w14:textId="77777777" w:rsidR="00324B7F" w:rsidRDefault="00000000">
      <w:pPr>
        <w:spacing w:before="40" w:after="120"/>
      </w:pPr>
      <w:r>
        <w:rPr>
          <w:rFonts w:ascii="Calibri" w:hAnsi="Calibri"/>
          <w:color w:val="0F172A"/>
          <w:sz w:val="20"/>
        </w:rPr>
        <w:t>3. Step 3: Italian DSU Scholarship Dossier Preparation (ISEE Parificato)</w:t>
      </w:r>
    </w:p>
    <w:p w14:paraId="6F6B3C59"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Accurately compile family income tax returns, municipal property valuation certificates, and bank balances under the ISEE Parificato framework to guarantee 100% tuition waivers and up to €8,500 annual cash grants.</w:t>
      </w:r>
    </w:p>
    <w:p w14:paraId="7FF70981" w14:textId="77777777" w:rsidR="00324B7F" w:rsidRDefault="00000000">
      <w:pPr>
        <w:spacing w:before="40" w:after="120"/>
      </w:pPr>
      <w:r>
        <w:rPr>
          <w:rFonts w:ascii="Calibri" w:hAnsi="Calibri"/>
          <w:color w:val="0F172A"/>
          <w:sz w:val="20"/>
        </w:rPr>
        <w:t>4. Step 4: Strategic Language Progression (English + German/Italian A1-B1)</w:t>
      </w:r>
    </w:p>
    <w:p w14:paraId="43349EB6"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Complete 100% English-taught master's coursework while simultaneously acquiring conversational B1 local language skills during the 2-year degree to guarantee the 21-month Permanent Residency transition.</w:t>
      </w:r>
    </w:p>
    <w:p w14:paraId="54B987E7" w14:textId="77777777" w:rsidR="00324B7F" w:rsidRDefault="00000000">
      <w:pPr>
        <w:spacing w:before="40" w:after="120"/>
      </w:pPr>
      <w:r>
        <w:rPr>
          <w:rFonts w:ascii="Calibri" w:hAnsi="Calibri"/>
          <w:color w:val="0F172A"/>
          <w:sz w:val="20"/>
        </w:rPr>
        <w:t>5. Step 5: Medical Candidates (MBBS Abroad NMC FMGL 2021 Compliance)</w:t>
      </w:r>
    </w:p>
    <w:p w14:paraId="6C9F9650" w14:textId="77777777" w:rsidR="00324B7F" w:rsidRDefault="00000000">
      <w:pPr>
        <w:spacing w:after="80"/>
        <w:ind w:left="360"/>
      </w:pPr>
      <w:r>
        <w:rPr>
          <w:rFonts w:ascii="Calibri" w:hAnsi="Calibri"/>
          <w:b/>
          <w:color w:val="0F766E"/>
          <w:sz w:val="20"/>
        </w:rPr>
        <w:t xml:space="preserve">✓ </w:t>
      </w:r>
      <w:r>
        <w:rPr>
          <w:rFonts w:ascii="Calibri" w:hAnsi="Calibri"/>
          <w:color w:val="0F172A"/>
          <w:sz w:val="20"/>
        </w:rPr>
        <w:t>Ensure foreign medical degrees strictly meet the 54-month academic + 12-month integrated institutional internship mandate with local practice licensing rights.</w:t>
      </w:r>
    </w:p>
    <w:p w14:paraId="41565C65" w14:textId="181A26BD" w:rsidR="00324B7F" w:rsidRDefault="00324B7F">
      <w:pPr>
        <w:spacing w:before="40" w:after="120"/>
      </w:pPr>
    </w:p>
    <w:p w14:paraId="6C1A2C65" w14:textId="77777777" w:rsidR="0098272F" w:rsidRDefault="0098272F">
      <w:pPr>
        <w:rPr>
          <w:rFonts w:ascii="Calibri" w:hAnsi="Calibri"/>
          <w:b/>
          <w:color w:val="0F172A"/>
          <w:sz w:val="23"/>
        </w:rPr>
      </w:pPr>
      <w:r>
        <w:rPr>
          <w:rFonts w:ascii="Calibri" w:hAnsi="Calibri"/>
          <w:b/>
          <w:color w:val="0F172A"/>
          <w:sz w:val="23"/>
        </w:rPr>
        <w:br w:type="page"/>
      </w:r>
    </w:p>
    <w:p w14:paraId="292366BC" w14:textId="2350C173" w:rsidR="00324B7F" w:rsidRDefault="00000000">
      <w:pPr>
        <w:spacing w:before="240" w:after="80"/>
      </w:pPr>
      <w:r>
        <w:rPr>
          <w:rFonts w:ascii="Calibri" w:hAnsi="Calibri"/>
          <w:b/>
          <w:color w:val="0F172A"/>
          <w:sz w:val="23"/>
        </w:rPr>
        <w:lastRenderedPageBreak/>
        <w:t xml:space="preserve"> Final Concluding Summary</w:t>
      </w:r>
    </w:p>
    <w:p w14:paraId="4E28FE2E" w14:textId="77777777" w:rsidR="00324B7F" w:rsidRDefault="00000000">
      <w:pPr>
        <w:spacing w:before="40" w:after="120"/>
      </w:pPr>
      <w:r>
        <w:rPr>
          <w:rFonts w:ascii="Calibri" w:hAnsi="Calibri"/>
          <w:color w:val="0F172A"/>
          <w:sz w:val="20"/>
        </w:rPr>
        <w:t>The demographic crisis in Continental Europe has created the greatest economic and educational window of opportunity for Indian talent in modern history.</w:t>
      </w:r>
    </w:p>
    <w:p w14:paraId="15AC1A48" w14:textId="77777777" w:rsidR="00324B7F" w:rsidRDefault="00000000">
      <w:pPr>
        <w:spacing w:before="40" w:after="120"/>
      </w:pPr>
      <w:r>
        <w:rPr>
          <w:rFonts w:ascii="Calibri" w:hAnsi="Calibri"/>
          <w:color w:val="0F172A"/>
          <w:sz w:val="20"/>
        </w:rPr>
        <w:t>By understanding that zero tuition fees, constitutional living stipends, and fast-track residency laws are sovereign economic imperatives to prevent workforce decline, ambitious Indian students can secure world-class international careers, high-paying corporate positions, and permanent European stability—with absolute financial safety and zero predatory debt.</w:t>
      </w:r>
    </w:p>
    <w:p w14:paraId="06790165" w14:textId="26F5C9F5" w:rsidR="00324B7F" w:rsidRDefault="00324B7F">
      <w:pPr>
        <w:spacing w:before="40" w:after="120"/>
      </w:pPr>
    </w:p>
    <w:p w14:paraId="6B372CDF" w14:textId="432613CE" w:rsidR="00324B7F" w:rsidRDefault="00000000">
      <w:pPr>
        <w:spacing w:before="240" w:after="80"/>
      </w:pPr>
      <w:r>
        <w:rPr>
          <w:rFonts w:ascii="Calibri" w:hAnsi="Calibri"/>
          <w:b/>
          <w:color w:val="0F172A"/>
          <w:sz w:val="23"/>
        </w:rPr>
        <w:t xml:space="preserve"> Sovereign Regulatory &amp; Academic Citations</w:t>
      </w:r>
    </w:p>
    <w:p w14:paraId="3EC15528" w14:textId="77777777" w:rsidR="00324B7F" w:rsidRDefault="00000000">
      <w:pPr>
        <w:spacing w:before="40" w:after="120"/>
      </w:pPr>
      <w:r>
        <w:rPr>
          <w:rFonts w:ascii="Calibri" w:hAnsi="Calibri"/>
          <w:color w:val="0F172A"/>
          <w:sz w:val="20"/>
        </w:rPr>
        <w:t>1. Eurostat (European Commission): Demographic Balance and Population Projections 2025–2026: Old-Age Dependency and Median Age Trajectories across EU Member States, Luxembourg.</w:t>
      </w:r>
    </w:p>
    <w:p w14:paraId="19ECB9F9" w14:textId="77777777" w:rsidR="00324B7F" w:rsidRDefault="00000000">
      <w:pPr>
        <w:spacing w:before="40" w:after="120"/>
      </w:pPr>
      <w:r>
        <w:rPr>
          <w:rFonts w:ascii="Calibri" w:hAnsi="Calibri"/>
          <w:color w:val="0F172A"/>
          <w:sz w:val="20"/>
        </w:rPr>
        <w:t>2. Statistisches Bundesamt (Destatis) &amp; DAAD: Wissenschaft weltoffen 2026: Demographic Shifts, International Student Enrolment, and Academic Mobility in Germany, German Academic Exchange Service, Bonn.</w:t>
      </w:r>
    </w:p>
    <w:p w14:paraId="29A74227" w14:textId="77777777" w:rsidR="00324B7F" w:rsidRDefault="00000000">
      <w:pPr>
        <w:spacing w:before="40" w:after="120"/>
      </w:pPr>
      <w:r>
        <w:rPr>
          <w:rFonts w:ascii="Calibri" w:hAnsi="Calibri"/>
          <w:color w:val="0F172A"/>
          <w:sz w:val="20"/>
        </w:rPr>
        <w:t>3. Bundesagentur für Arbeit (German Federal Employment Agency): Fachkräfteengpassbericht 2025/2026: Structural Shortage Analysis and Annual Replacement Influx Requirements, Nuremberg.</w:t>
      </w:r>
    </w:p>
    <w:p w14:paraId="10A18A98" w14:textId="77777777" w:rsidR="00324B7F" w:rsidRDefault="00000000">
      <w:pPr>
        <w:spacing w:before="40" w:after="120"/>
      </w:pPr>
      <w:r>
        <w:rPr>
          <w:rFonts w:ascii="Calibri" w:hAnsi="Calibri"/>
          <w:color w:val="0F172A"/>
          <w:sz w:val="20"/>
        </w:rPr>
        <w:t>4. Costituzione della Repubblica Italiana: Articolo 34 (Diritto allo Studio Universitario) &amp; Decreto Legislativo 29 marzo 2012, n. 68, Gazzetta Ufficiale della Repubblica Italiana.</w:t>
      </w:r>
    </w:p>
    <w:p w14:paraId="204E9414" w14:textId="77777777" w:rsidR="00324B7F" w:rsidRDefault="00000000">
      <w:pPr>
        <w:spacing w:before="40" w:after="120"/>
      </w:pPr>
      <w:r>
        <w:rPr>
          <w:rFonts w:ascii="Calibri" w:hAnsi="Calibri"/>
          <w:color w:val="0F172A"/>
          <w:sz w:val="20"/>
        </w:rPr>
        <w:t>5. European Parliament and Council of the European Union: Directive (EU) 2021/1883 on the Conditions of Entry and Residence of Third-Country Nationals for the Purpose of Highly Qualified Employment (EU Blue Card Directive), Official Journal of the European Union.</w:t>
      </w:r>
    </w:p>
    <w:p w14:paraId="16696D35" w14:textId="3E517852" w:rsidR="00324B7F" w:rsidRDefault="00000000" w:rsidP="0098272F">
      <w:pPr>
        <w:spacing w:before="40" w:after="120"/>
      </w:pPr>
      <w:r>
        <w:rPr>
          <w:rFonts w:ascii="Calibri" w:hAnsi="Calibri"/>
          <w:color w:val="0F172A"/>
          <w:sz w:val="20"/>
        </w:rPr>
        <w:t>6. Bundesministerium des Innern und für Heimat (BMI Germany): Gesetz zur Weiterentwicklung der Fachkräfteeinwanderung (Skilled Immigration Act 2.0 &amp; Chancenkarte), Bundesgesetzblatt, Berlin.</w:t>
      </w:r>
    </w:p>
    <w:sectPr w:rsidR="00324B7F" w:rsidSect="00034616">
      <w:pgSz w:w="11909" w:h="16834"/>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803451">
    <w:abstractNumId w:val="8"/>
  </w:num>
  <w:num w:numId="2" w16cid:durableId="174006935">
    <w:abstractNumId w:val="6"/>
  </w:num>
  <w:num w:numId="3" w16cid:durableId="222449487">
    <w:abstractNumId w:val="5"/>
  </w:num>
  <w:num w:numId="4" w16cid:durableId="153692527">
    <w:abstractNumId w:val="4"/>
  </w:num>
  <w:num w:numId="5" w16cid:durableId="1532062371">
    <w:abstractNumId w:val="7"/>
  </w:num>
  <w:num w:numId="6" w16cid:durableId="1113356929">
    <w:abstractNumId w:val="3"/>
  </w:num>
  <w:num w:numId="7" w16cid:durableId="69431619">
    <w:abstractNumId w:val="2"/>
  </w:num>
  <w:num w:numId="8" w16cid:durableId="764232699">
    <w:abstractNumId w:val="1"/>
  </w:num>
  <w:num w:numId="9" w16cid:durableId="542249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4B7F"/>
    <w:rsid w:val="00326F90"/>
    <w:rsid w:val="0098272F"/>
    <w:rsid w:val="00AA1D8D"/>
    <w:rsid w:val="00B47730"/>
    <w:rsid w:val="00B879C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340A8"/>
  <w14:defaultImageDpi w14:val="300"/>
  <w15:docId w15:val="{AFEDBBD2-5C2B-411C-AC42-EEC42EAA4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2679</Words>
  <Characters>15272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2026-09-08T07:51:00Z</dcterms:modified>
  <cp:category/>
</cp:coreProperties>
</file>