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sz w:val="28"/>
        </w:rPr>
        <w:t>喉マイク音声に対する音声強調が自動音声認識に与える影響の定量的評価</w:t>
      </w:r>
    </w:p>
    <w:p>
      <w:pPr>
        <w:spacing w:after="80"/>
        <w:jc w:val="center"/>
      </w:pPr>
      <w:r>
        <w:rPr>
          <w:color w:val="37474F"/>
          <w:sz w:val="20"/>
        </w:rPr>
        <w:t>Quantitative Evaluation of Speech Enhancement Effects on Automatic Speech Recognition for Bone Conduction Microphone Audio</w:t>
      </w:r>
    </w:p>
    <w:p>
      <w:pPr>
        <w:spacing w:after="40"/>
        <w:jc w:val="center"/>
      </w:pPr>
      <w:r>
        <w:rPr>
          <w:sz w:val="20"/>
        </w:rPr>
        <w:t>○ 著者名（所属機関）</w:t>
      </w:r>
    </w:p>
    <w:p>
      <w:pPr>
        <w:pBdr>
          <w:top w:val="single" w:sz="6" w:space="1" w:color="000000"/>
        </w:pBdr>
        <w:spacing w:before="80" w:after="80"/>
      </w:pPr>
    </w:p>
    <w:p>
      <w:pPr>
        <w:spacing w:after="20"/>
        <w:jc w:val="left"/>
      </w:pPr>
      <w:r>
        <w:rPr>
          <w:b/>
          <w:sz w:val="18"/>
        </w:rPr>
        <w:t>【あらまし】</w:t>
      </w:r>
    </w:p>
    <w:p>
      <w:pPr>
        <w:spacing w:after="40"/>
        <w:jc w:val="both"/>
      </w:pPr>
      <w:r>
        <w:rPr>
          <w:sz w:val="18"/>
        </w:rPr>
        <w:t>骨伝導マイク（喉マイク）は高騒音環境での音声収音に有用であるが，その音声は低域偏重かつ高周波欠落という独特の周波数特性を持つ．本研究では，DSPベースおよびGTCRNニューラルSEを喉マイク音声に適用し，Whisperを用いた文字誤り率（CER）への影響を34条件で定量評価した．TAPSデータセット（韓国語，50発話）を使用し，白色・ピンクノイズを SNR −5〜+20 dB で付加した．全ノイズ条件でSE適用後のCERが悪化し，GTCRNはSTOIを改善しながらCERを悪化させる知覚品質とASR性能の乖離を示した．</w:t>
      </w:r>
    </w:p>
    <w:p>
      <w:pPr>
        <w:spacing w:after="80"/>
      </w:pPr>
      <w:r>
        <w:rPr>
          <w:sz w:val="18"/>
        </w:rPr>
        <w:t>【キーワード】骨伝導マイク，音声強調，自動音声認識，Whisper，CER，STOI</w:t>
      </w:r>
    </w:p>
    <w:p>
      <w:pPr>
        <w:pBdr>
          <w:top w:val="single" w:sz="6" w:space="1" w:color="000000"/>
        </w:pBdr>
        <w:spacing w:before="80" w:after="80"/>
      </w:pPr>
    </w:p>
    <w:p>
      <w:pPr>
        <w:spacing w:before="120" w:after="40"/>
        <w:jc w:val="left"/>
      </w:pPr>
      <w:r>
        <w:rPr>
          <w:b/>
          <w:sz w:val="20"/>
        </w:rPr>
        <w:t>1.　はじめに</w:t>
      </w:r>
    </w:p>
    <w:p>
      <w:pPr>
        <w:spacing w:before="0" w:after="60"/>
        <w:ind w:firstLine="283"/>
        <w:jc w:val="both"/>
      </w:pPr>
      <w:r>
        <w:rPr>
          <w:b w:val="0"/>
          <w:sz w:val="20"/>
        </w:rPr>
        <w:t>骨伝導マイク（喉マイク）は，ヘルメット着用や騒音環境下でも安定した音声収音が可能なため，軍事・工業・スポーツ用途で利用されている．しかし，その出力音声は低域エネルギーが支配的であり，高周波成分が著しく欠落するという特性を持つ．この特性により，一般的なASRシステムでは高いCERが生じる．</w:t>
      </w:r>
    </w:p>
    <w:p>
      <w:pPr>
        <w:spacing w:before="0" w:after="60"/>
        <w:ind w:firstLine="283"/>
        <w:jc w:val="both"/>
      </w:pPr>
      <w:r>
        <w:rPr>
          <w:b w:val="0"/>
          <w:sz w:val="20"/>
        </w:rPr>
        <w:t>音声強調（SE）は前処理として広く用いられるが，Mawalimら [1] は深層学習型SEが実環境ではASR性能を必ずしも改善しないことを示した．またOchiaiら [2] はSEが導入するアーティファクト誤差がASRに最も有害であることを定量的に示している．</w:t>
      </w:r>
    </w:p>
    <w:p>
      <w:pPr>
        <w:spacing w:before="0" w:after="60"/>
        <w:ind w:firstLine="283"/>
        <w:jc w:val="both"/>
      </w:pPr>
      <w:r>
        <w:rPr>
          <w:b w:val="0"/>
          <w:sz w:val="20"/>
        </w:rPr>
        <w:t>本稿では喉マイクという特殊なドメインにおいて，DSP-onlyおよびGTCRN [3] によるSEがWhisperのCERに与える影響を34条件で評価し，SE逆効果が生じる条件の特定を目的とする．</w:t>
      </w:r>
    </w:p>
    <w:p>
      <w:pPr>
        <w:spacing w:before="120" w:after="40"/>
        <w:jc w:val="left"/>
      </w:pPr>
      <w:r>
        <w:rPr>
          <w:b/>
          <w:sz w:val="20"/>
        </w:rPr>
        <w:t>2.　実験設計</w:t>
      </w:r>
    </w:p>
    <w:p>
      <w:pPr>
        <w:spacing w:before="80" w:after="20"/>
        <w:jc w:val="left"/>
      </w:pPr>
      <w:r>
        <w:rPr>
          <w:b/>
          <w:sz w:val="20"/>
        </w:rPr>
        <w:t>2.1　データセット</w:t>
      </w:r>
    </w:p>
    <w:p>
      <w:pPr>
        <w:spacing w:before="0" w:after="60"/>
        <w:ind w:firstLine="283"/>
        <w:jc w:val="both"/>
      </w:pPr>
      <w:r>
        <w:rPr>
          <w:b w:val="0"/>
          <w:sz w:val="20"/>
        </w:rPr>
        <w:t>TAPSデータセット [4] のテストセットから50発話を使用した．喉マイク・気導マイクのペア音声と韓国語正解テキストが付属し，話者1名（p00），サンプリングレート16 kHz である．</w:t>
      </w:r>
    </w:p>
    <w:p>
      <w:pPr>
        <w:spacing w:before="80" w:after="20"/>
        <w:jc w:val="left"/>
      </w:pPr>
      <w:r>
        <w:rPr>
          <w:b/>
          <w:sz w:val="20"/>
        </w:rPr>
        <w:t>2.2　ノイズ付加</w:t>
      </w:r>
    </w:p>
    <w:p>
      <w:pPr>
        <w:spacing w:before="0" w:after="60"/>
        <w:ind w:firstLine="283"/>
        <w:jc w:val="both"/>
      </w:pPr>
      <w:r>
        <w:rPr>
          <w:b w:val="0"/>
          <w:sz w:val="20"/>
        </w:rPr>
        <w:t>白色・ピンクノイズをSNR −5, 0, +5, +10, +20 dBで混合し，計10条件のノイズ付き音声を生成した．</w:t>
      </w:r>
    </w:p>
    <w:p>
      <w:pPr>
        <w:spacing w:before="80" w:after="20"/>
        <w:jc w:val="left"/>
      </w:pPr>
      <w:r>
        <w:rPr>
          <w:b/>
          <w:sz w:val="20"/>
        </w:rPr>
        <w:t>2.3　音声強調モデル</w:t>
      </w:r>
    </w:p>
    <w:p>
      <w:pPr>
        <w:spacing w:before="0" w:after="60"/>
        <w:ind w:firstLine="283"/>
        <w:jc w:val="both"/>
      </w:pPr>
      <w:r>
        <w:rPr>
          <w:b w:val="0"/>
          <w:sz w:val="20"/>
        </w:rPr>
        <w:t>DSP-only：Butterworth 6次ハイパスフィルタ（300 Hz）+プリエンファシス（0.97）+RMS正規化．</w:t>
      </w:r>
    </w:p>
    <w:p>
      <w:pPr>
        <w:spacing w:before="0" w:after="60"/>
        <w:ind w:firstLine="283"/>
        <w:jc w:val="both"/>
      </w:pPr>
      <w:r>
        <w:rPr>
          <w:b w:val="0"/>
          <w:sz w:val="20"/>
        </w:rPr>
        <w:t>GTCRN：48.2K パラメータのニューラルSE [3]．DNS3（気導マイク，英語）で学習済み（喉マイクはドメイン外）．STFT（窓長512，シフト256）による複素領域処理．</w:t>
      </w:r>
    </w:p>
    <w:p>
      <w:pPr>
        <w:spacing w:before="80" w:after="20"/>
        <w:jc w:val="left"/>
      </w:pPr>
      <w:r>
        <w:rPr>
          <w:b/>
          <w:sz w:val="20"/>
        </w:rPr>
        <w:t>2.4　評価指標</w:t>
      </w:r>
    </w:p>
    <w:p>
      <w:pPr>
        <w:spacing w:before="0" w:after="60"/>
        <w:ind w:firstLine="283"/>
        <w:jc w:val="both"/>
      </w:pPr>
      <w:r>
        <w:rPr>
          <w:b w:val="0"/>
          <w:sz w:val="20"/>
        </w:rPr>
        <w:t>CER：faster-whisper small（言語：ko）でtranscribeしjiwer で算出．STOI：クリーン喉マイク音声を参照にpystoi で算出（0〜1，高いほど良好）．</w:t>
      </w:r>
    </w:p>
    <w:p>
      <w:pPr>
        <w:spacing w:before="120" w:after="40"/>
        <w:jc w:val="left"/>
      </w:pPr>
      <w:r>
        <w:rPr>
          <w:b/>
          <w:sz w:val="20"/>
        </w:rPr>
        <w:t>3.　実験結果</w:t>
      </w:r>
    </w:p>
    <w:p>
      <w:pPr>
        <w:spacing w:before="80" w:after="20"/>
        <w:jc w:val="left"/>
      </w:pPr>
      <w:r>
        <w:rPr>
          <w:b/>
          <w:sz w:val="20"/>
        </w:rPr>
        <w:t>3.1　クリーン条件</w:t>
      </w:r>
    </w:p>
    <w:p>
      <w:pPr>
        <w:spacing w:before="0" w:after="60"/>
        <w:ind w:firstLine="283"/>
        <w:jc w:val="both"/>
      </w:pPr>
      <w:r>
        <w:rPr>
          <w:b w:val="0"/>
          <w:sz w:val="20"/>
        </w:rPr>
        <w:t>図1にクリーン条件のCERを示す．気導マイクベースライン（0.131）に対し，喉マイク生音声は0.269と悪化する．DSP適用（0.416）はさらに悪化するが，GTCRN（0.296）は生音声に近い値を維持した．</w:t>
      </w:r>
    </w:p>
    <w:p>
      <w:pPr>
        <w:spacing w:before="80" w:after="0"/>
        <w:jc w:val="center"/>
      </w:pPr>
      <w:r>
        <w:drawing>
          <wp:inline xmlns:a="http://schemas.openxmlformats.org/drawingml/2006/main" xmlns:pic="http://schemas.openxmlformats.org/drawingml/2006/picture">
            <wp:extent cx="2700000" cy="200638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0000" cy="2006386"/>
                    </a:xfrm>
                    <a:prstGeom prst="rect"/>
                  </pic:spPr>
                </pic:pic>
              </a:graphicData>
            </a:graphic>
          </wp:inline>
        </w:drawing>
      </w:r>
    </w:p>
    <w:p>
      <w:pPr>
        <w:spacing w:before="20" w:after="120"/>
        <w:jc w:val="center"/>
      </w:pPr>
      <w:r>
        <w:rPr>
          <w:b/>
          <w:sz w:val="18"/>
        </w:rPr>
        <w:t>図1　クリーン条件のCER比較</w:t>
      </w:r>
    </w:p>
    <w:p>
      <w:pPr>
        <w:spacing w:before="80" w:after="20"/>
        <w:jc w:val="left"/>
      </w:pPr>
      <w:r>
        <w:rPr>
          <w:b/>
          <w:sz w:val="20"/>
        </w:rPr>
        <w:t>3.2　ノイズ条件</w:t>
      </w:r>
    </w:p>
    <w:p>
      <w:pPr>
        <w:spacing w:before="0" w:after="60"/>
        <w:ind w:firstLine="283"/>
        <w:jc w:val="both"/>
      </w:pPr>
      <w:r>
        <w:rPr>
          <w:b w:val="0"/>
          <w:sz w:val="20"/>
        </w:rPr>
        <w:t>図2・図3に白色・ピンクノイズ下でのSNRとCERの関係を示す．全SEモデルが全SNR条件でNo SEよりも高いCERを示した．GTCRNはSNR +20 dBでは No SE に近い値（white: 0.378 vs 0.330）だが，SNR低下とともに乖離が拡大し，SNR 0 dBでは1.214（No SE: 0.882）に達した．</w:t>
      </w:r>
    </w:p>
    <w:p>
      <w:pPr>
        <w:spacing w:before="80" w:after="0"/>
        <w:jc w:val="center"/>
      </w:pPr>
      <w:r>
        <w:drawing>
          <wp:inline xmlns:a="http://schemas.openxmlformats.org/drawingml/2006/main" xmlns:pic="http://schemas.openxmlformats.org/drawingml/2006/picture">
            <wp:extent cx="2700000" cy="199854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0000" cy="1998549"/>
                    </a:xfrm>
                    <a:prstGeom prst="rect"/>
                  </pic:spPr>
                </pic:pic>
              </a:graphicData>
            </a:graphic>
          </wp:inline>
        </w:drawing>
      </w:r>
    </w:p>
    <w:p>
      <w:pPr>
        <w:spacing w:before="20" w:after="120"/>
        <w:jc w:val="center"/>
      </w:pPr>
      <w:r>
        <w:rPr>
          <w:b/>
          <w:sz w:val="18"/>
        </w:rPr>
        <w:t>図2　SNR対CER（白色ノイズ）</w:t>
      </w:r>
    </w:p>
    <w:p>
      <w:pPr>
        <w:spacing w:before="80" w:after="0"/>
        <w:jc w:val="center"/>
      </w:pPr>
      <w:r>
        <w:drawing>
          <wp:inline xmlns:a="http://schemas.openxmlformats.org/drawingml/2006/main" xmlns:pic="http://schemas.openxmlformats.org/drawingml/2006/picture">
            <wp:extent cx="2700000" cy="199854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00000" cy="1998549"/>
                    </a:xfrm>
                    <a:prstGeom prst="rect"/>
                  </pic:spPr>
                </pic:pic>
              </a:graphicData>
            </a:graphic>
          </wp:inline>
        </w:drawing>
      </w:r>
    </w:p>
    <w:p>
      <w:pPr>
        <w:spacing w:before="20" w:after="120"/>
        <w:jc w:val="center"/>
      </w:pPr>
      <w:r>
        <w:rPr>
          <w:b/>
          <w:sz w:val="18"/>
        </w:rPr>
        <w:t>図3　SNR対CER（ピンクノイズ）</w:t>
      </w:r>
    </w:p>
    <w:p>
      <w:pPr>
        <w:spacing w:before="80" w:after="20"/>
        <w:jc w:val="left"/>
      </w:pPr>
      <w:r>
        <w:rPr>
          <w:b/>
          <w:sz w:val="20"/>
        </w:rPr>
        <w:t>3.3　STOIとCERの乖離</w:t>
      </w:r>
    </w:p>
    <w:p>
      <w:pPr>
        <w:spacing w:before="0" w:after="60"/>
        <w:ind w:firstLine="283"/>
        <w:jc w:val="both"/>
      </w:pPr>
      <w:r>
        <w:rPr>
          <w:b w:val="0"/>
          <w:sz w:val="20"/>
        </w:rPr>
        <w:t>図4にSTOI対CER散布図を示す．GTCRNはNo SEと比較してSTOI（右方向）とCER（上方向）が同時に増加するという逆説的パターンを示した．例えば白色SNR 0 dBでは，STOI: 0.585→0.721（+0.136），CER: 0.882→1.214（+0.332）となった．</w:t>
      </w:r>
    </w:p>
    <w:p>
      <w:pPr>
        <w:spacing w:before="80" w:after="0"/>
        <w:jc w:val="center"/>
      </w:pPr>
      <w:r>
        <w:drawing>
          <wp:inline xmlns:a="http://schemas.openxmlformats.org/drawingml/2006/main" xmlns:pic="http://schemas.openxmlformats.org/drawingml/2006/picture">
            <wp:extent cx="2700000" cy="2139623"/>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00000" cy="2139623"/>
                    </a:xfrm>
                    <a:prstGeom prst="rect"/>
                  </pic:spPr>
                </pic:pic>
              </a:graphicData>
            </a:graphic>
          </wp:inline>
        </w:drawing>
      </w:r>
    </w:p>
    <w:p>
      <w:pPr>
        <w:spacing w:before="20" w:after="120"/>
        <w:jc w:val="center"/>
      </w:pPr>
      <w:r>
        <w:rPr>
          <w:b/>
          <w:sz w:val="18"/>
        </w:rPr>
        <w:t>図4　STOI対CER散布図</w:t>
      </w:r>
    </w:p>
    <w:p>
      <w:pPr>
        <w:spacing w:before="120" w:after="40"/>
        <w:jc w:val="left"/>
      </w:pPr>
      <w:r>
        <w:rPr>
          <w:b/>
          <w:sz w:val="20"/>
        </w:rPr>
        <w:t>4.　考察</w:t>
      </w:r>
    </w:p>
    <w:p>
      <w:pPr>
        <w:spacing w:before="0" w:after="60"/>
        <w:ind w:firstLine="283"/>
        <w:jc w:val="both"/>
      </w:pPr>
      <w:r>
        <w:rPr>
          <w:b w:val="0"/>
          <w:sz w:val="20"/>
        </w:rPr>
        <w:t>Ochiaiら [2] が示したアーティファクト誤差の枠組みで解釈すると，GTCRNは知覚的に自然な音声を生成しながらも，Whisperの学習分布と乖離した非線形歪みを導入していると考えられる．GTCRNがDNS3（気導マイク）で学習されており，喉マイクの低域偏重スペクトルはドメイン外入力であることも一因である．</w:t>
      </w:r>
    </w:p>
    <w:p>
      <w:pPr>
        <w:spacing w:before="0" w:after="60"/>
        <w:ind w:firstLine="283"/>
        <w:jc w:val="both"/>
      </w:pPr>
      <w:r>
        <w:rPr>
          <w:b w:val="0"/>
          <w:sz w:val="20"/>
        </w:rPr>
        <w:t>DSP-onlyはSTOI・CERの両方を悪化させた．300 Hzハイパスフィルタが喉マイクの主要エネルギー帯域を除去するためであり，カットオフ周波数の最適化が今後の課題である．</w:t>
      </w:r>
    </w:p>
    <w:p>
      <w:pPr>
        <w:spacing w:before="120" w:after="40"/>
        <w:jc w:val="left"/>
      </w:pPr>
      <w:r>
        <w:rPr>
          <w:b/>
          <w:sz w:val="20"/>
        </w:rPr>
        <w:t>5.　おわりに</w:t>
      </w:r>
    </w:p>
    <w:p>
      <w:pPr>
        <w:spacing w:before="0" w:after="60"/>
        <w:ind w:firstLine="283"/>
        <w:jc w:val="both"/>
      </w:pPr>
      <w:r>
        <w:rPr>
          <w:b w:val="0"/>
          <w:sz w:val="20"/>
        </w:rPr>
        <w:t>喉マイク音声に対するSEの効果をCERとSTOIの両面から評価した結果，（1）DSP-onlyおよびGTCRNは全ノイズ条件でCERを悪化させる，（2）GTCRNはSTOIを改善しながらCERを悪化させる乖離を示す，という2点が明らかになった．今後はWhisper large-v3による再評価，PESQ計測，DSPパラメータ感度分析を行う予定である．</w:t>
      </w:r>
    </w:p>
    <w:p>
      <w:pPr>
        <w:spacing w:before="120" w:after="40"/>
        <w:jc w:val="left"/>
      </w:pPr>
      <w:r>
        <w:rPr>
          <w:b/>
          <w:sz w:val="20"/>
        </w:rPr>
        <w:t xml:space="preserve">　参考文献</w:t>
      </w:r>
    </w:p>
    <w:p>
      <w:pPr>
        <w:spacing w:after="40"/>
      </w:pPr>
      <w:r>
        <w:rPr>
          <w:sz w:val="17"/>
        </w:rPr>
        <w:t>[1] C.O. Mawalim et al., Interspeech 2024, pp.1735–1739.</w:t>
      </w:r>
    </w:p>
    <w:p>
      <w:pPr>
        <w:spacing w:after="40"/>
      </w:pPr>
      <w:r>
        <w:rPr>
          <w:sz w:val="17"/>
        </w:rPr>
        <w:t>[2] T. Ochiai et al., TASLP 2024, arXiv:2404.14860.</w:t>
      </w:r>
    </w:p>
    <w:p>
      <w:pPr>
        <w:spacing w:after="40"/>
      </w:pPr>
      <w:r>
        <w:rPr>
          <w:sz w:val="17"/>
        </w:rPr>
        <w:t>[3] X. Rong et al., arXiv:2404.11567, 2024.</w:t>
      </w:r>
    </w:p>
    <w:p>
      <w:pPr>
        <w:spacing w:after="40"/>
      </w:pPr>
      <w:r>
        <w:rPr>
          <w:sz w:val="17"/>
        </w:rPr>
        <w:t>[4] Y. Kim et al., HuggingFace: yskim3271/Throat_and_Acoustic_Pairing_Speech_Dataset.</w:t>
      </w:r>
    </w:p>
    <w:p>
      <w:r>
        <w:br w:type="page"/>
      </w:r>
      <w:sectPr>
        <w:cols w:num="1"/>
      </w:sectPr>
    </w:p>
    <w:p>
      <w:pPr>
        <w:spacing w:before="120" w:after="40"/>
        <w:jc w:val="left"/>
      </w:pPr>
      <w:r>
        <w:rPr>
          <w:b/>
          <w:sz w:val="20"/>
        </w:rPr>
        <w:t>付表　全条件のCER・STOI計測結果</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551"/>
            <w:shd w:val="clear" w:color="auto" w:fill="1a237e"/>
          </w:tcPr>
          <w:p>
            <w:pPr>
              <w:spacing w:before="0" w:after="0"/>
              <w:jc w:val="center"/>
            </w:pPr>
            <w:r>
              <w:rPr>
                <w:b/>
                <w:color w:val="FFFFFF"/>
                <w:sz w:val="15"/>
              </w:rPr>
              <w:t>条件</w:t>
            </w:r>
          </w:p>
        </w:tc>
        <w:tc>
          <w:tcPr>
            <w:tcW w:type="dxa" w:w="680"/>
            <w:shd w:val="clear" w:color="auto" w:fill="1a237e"/>
          </w:tcPr>
          <w:p>
            <w:pPr>
              <w:spacing w:before="0" w:after="0"/>
              <w:jc w:val="center"/>
            </w:pPr>
            <w:r>
              <w:rPr>
                <w:b/>
                <w:color w:val="FFFFFF"/>
                <w:sz w:val="15"/>
              </w:rPr>
              <w:t>ノイズ</w:t>
            </w:r>
          </w:p>
        </w:tc>
        <w:tc>
          <w:tcPr>
            <w:tcW w:type="dxa" w:w="510"/>
            <w:shd w:val="clear" w:color="auto" w:fill="1a237e"/>
          </w:tcPr>
          <w:p>
            <w:pPr>
              <w:spacing w:before="0" w:after="0"/>
              <w:jc w:val="center"/>
            </w:pPr>
            <w:r>
              <w:rPr>
                <w:b/>
                <w:color w:val="FFFFFF"/>
                <w:sz w:val="15"/>
              </w:rPr>
              <w:t>SNR</w:t>
            </w:r>
          </w:p>
        </w:tc>
        <w:tc>
          <w:tcPr>
            <w:tcW w:type="dxa" w:w="624"/>
            <w:shd w:val="clear" w:color="auto" w:fill="1a237e"/>
          </w:tcPr>
          <w:p>
            <w:pPr>
              <w:spacing w:before="0" w:after="0"/>
              <w:jc w:val="center"/>
            </w:pPr>
            <w:r>
              <w:rPr>
                <w:b/>
                <w:color w:val="FFFFFF"/>
                <w:sz w:val="15"/>
              </w:rPr>
              <w:t>CER↓</w:t>
            </w:r>
          </w:p>
        </w:tc>
        <w:tc>
          <w:tcPr>
            <w:tcW w:type="dxa" w:w="624"/>
            <w:shd w:val="clear" w:color="auto" w:fill="1a237e"/>
          </w:tcPr>
          <w:p>
            <w:pPr>
              <w:spacing w:before="0" w:after="0"/>
              <w:jc w:val="center"/>
            </w:pPr>
            <w:r>
              <w:rPr>
                <w:b/>
                <w:color w:val="FFFFFF"/>
                <w:sz w:val="15"/>
              </w:rPr>
              <w:t>STOI↑</w:t>
            </w:r>
          </w:p>
        </w:tc>
      </w:tr>
      <w:tr>
        <w:tc>
          <w:tcPr>
            <w:tcW w:type="dxa" w:w="2551"/>
          </w:tcPr>
          <w:p>
            <w:pPr>
              <w:spacing w:before="0" w:after="0"/>
              <w:jc w:val="center"/>
            </w:pPr>
            <w:r>
              <w:rPr>
                <w:sz w:val="14"/>
              </w:rPr>
              <w:t>baseline_acoustic</w:t>
            </w:r>
          </w:p>
        </w:tc>
        <w:tc>
          <w:tcPr>
            <w:tcW w:type="dxa" w:w="680"/>
          </w:tcPr>
          <w:p>
            <w:pPr>
              <w:spacing w:before="0" w:after="0"/>
              <w:jc w:val="center"/>
            </w:pPr>
            <w:r>
              <w:rPr>
                <w:sz w:val="14"/>
              </w:rPr>
              <w:t>—</w:t>
            </w:r>
          </w:p>
        </w:tc>
        <w:tc>
          <w:tcPr>
            <w:tcW w:type="dxa" w:w="510"/>
          </w:tcPr>
          <w:p>
            <w:pPr>
              <w:spacing w:before="0" w:after="0"/>
              <w:jc w:val="center"/>
            </w:pPr>
            <w:r>
              <w:rPr>
                <w:sz w:val="14"/>
              </w:rPr>
              <w:t>—</w:t>
            </w:r>
          </w:p>
        </w:tc>
        <w:tc>
          <w:tcPr>
            <w:tcW w:type="dxa" w:w="624"/>
            <w:shd w:val="clear" w:color="auto" w:fill="c8e6c9"/>
          </w:tcPr>
          <w:p>
            <w:pPr>
              <w:spacing w:before="0" w:after="0"/>
              <w:jc w:val="center"/>
            </w:pPr>
            <w:r>
              <w:rPr>
                <w:sz w:val="14"/>
              </w:rPr>
              <w:t>0.131</w:t>
            </w:r>
          </w:p>
        </w:tc>
        <w:tc>
          <w:tcPr>
            <w:tcW w:type="dxa" w:w="624"/>
          </w:tcPr>
          <w:p>
            <w:pPr>
              <w:spacing w:before="0" w:after="0"/>
              <w:jc w:val="center"/>
            </w:pPr>
            <w:r>
              <w:rPr>
                <w:sz w:val="14"/>
              </w:rPr>
              <w:t>-</w:t>
            </w:r>
          </w:p>
        </w:tc>
      </w:tr>
      <w:tr>
        <w:tc>
          <w:tcPr>
            <w:tcW w:type="dxa" w:w="2551"/>
          </w:tcPr>
          <w:p>
            <w:pPr>
              <w:spacing w:before="0" w:after="0"/>
              <w:jc w:val="center"/>
            </w:pPr>
            <w:r>
              <w:rPr>
                <w:sz w:val="14"/>
              </w:rPr>
              <w:t>baseline_throat</w:t>
            </w:r>
          </w:p>
        </w:tc>
        <w:tc>
          <w:tcPr>
            <w:tcW w:type="dxa" w:w="680"/>
          </w:tcPr>
          <w:p>
            <w:pPr>
              <w:spacing w:before="0" w:after="0"/>
              <w:jc w:val="center"/>
            </w:pPr>
            <w:r>
              <w:rPr>
                <w:sz w:val="14"/>
              </w:rPr>
              <w:t>—</w:t>
            </w:r>
          </w:p>
        </w:tc>
        <w:tc>
          <w:tcPr>
            <w:tcW w:type="dxa" w:w="510"/>
          </w:tcPr>
          <w:p>
            <w:pPr>
              <w:spacing w:before="0" w:after="0"/>
              <w:jc w:val="center"/>
            </w:pPr>
            <w:r>
              <w:rPr>
                <w:sz w:val="14"/>
              </w:rPr>
              <w:t>—</w:t>
            </w:r>
          </w:p>
        </w:tc>
        <w:tc>
          <w:tcPr>
            <w:tcW w:type="dxa" w:w="624"/>
            <w:shd w:val="clear" w:color="auto" w:fill="c8e6c9"/>
          </w:tcPr>
          <w:p>
            <w:pPr>
              <w:spacing w:before="0" w:after="0"/>
              <w:jc w:val="center"/>
            </w:pPr>
            <w:r>
              <w:rPr>
                <w:sz w:val="14"/>
              </w:rPr>
              <w:t>0.269</w:t>
            </w:r>
          </w:p>
        </w:tc>
        <w:tc>
          <w:tcPr>
            <w:tcW w:type="dxa" w:w="624"/>
          </w:tcPr>
          <w:p>
            <w:pPr>
              <w:spacing w:before="0" w:after="0"/>
              <w:jc w:val="center"/>
            </w:pPr>
            <w:r>
              <w:rPr>
                <w:sz w:val="14"/>
              </w:rPr>
              <w:t>-</w:t>
            </w:r>
          </w:p>
        </w:tc>
      </w:tr>
      <w:tr>
        <w:tc>
          <w:tcPr>
            <w:tcW w:type="dxa" w:w="2551"/>
          </w:tcPr>
          <w:p>
            <w:pPr>
              <w:spacing w:before="0" w:after="0"/>
              <w:jc w:val="center"/>
            </w:pPr>
            <w:r>
              <w:rPr>
                <w:sz w:val="14"/>
              </w:rPr>
              <w:t>dsp_only/clean</w:t>
            </w:r>
          </w:p>
        </w:tc>
        <w:tc>
          <w:tcPr>
            <w:tcW w:type="dxa" w:w="680"/>
          </w:tcPr>
          <w:p>
            <w:pPr>
              <w:spacing w:before="0" w:after="0"/>
              <w:jc w:val="center"/>
            </w:pPr>
            <w:r>
              <w:rPr>
                <w:sz w:val="14"/>
              </w:rPr>
              <w:t>—</w:t>
            </w:r>
          </w:p>
        </w:tc>
        <w:tc>
          <w:tcPr>
            <w:tcW w:type="dxa" w:w="510"/>
          </w:tcPr>
          <w:p>
            <w:pPr>
              <w:spacing w:before="0" w:after="0"/>
              <w:jc w:val="center"/>
            </w:pPr>
            <w:r>
              <w:rPr>
                <w:sz w:val="14"/>
              </w:rPr>
              <w:t>—</w:t>
            </w:r>
          </w:p>
        </w:tc>
        <w:tc>
          <w:tcPr>
            <w:tcW w:type="dxa" w:w="624"/>
            <w:shd w:val="clear" w:color="auto" w:fill="fff9c4"/>
          </w:tcPr>
          <w:p>
            <w:pPr>
              <w:spacing w:before="0" w:after="0"/>
              <w:jc w:val="center"/>
            </w:pPr>
            <w:r>
              <w:rPr>
                <w:sz w:val="14"/>
              </w:rPr>
              <w:t>0.416</w:t>
            </w:r>
          </w:p>
        </w:tc>
        <w:tc>
          <w:tcPr>
            <w:tcW w:type="dxa" w:w="624"/>
          </w:tcPr>
          <w:p>
            <w:pPr>
              <w:spacing w:before="0" w:after="0"/>
              <w:jc w:val="center"/>
            </w:pPr>
            <w:r>
              <w:rPr>
                <w:sz w:val="14"/>
              </w:rPr>
              <w:t>0.847</w:t>
            </w:r>
          </w:p>
        </w:tc>
      </w:tr>
      <w:tr>
        <w:tc>
          <w:tcPr>
            <w:tcW w:type="dxa" w:w="2551"/>
          </w:tcPr>
          <w:p>
            <w:pPr>
              <w:spacing w:before="0" w:after="0"/>
              <w:jc w:val="center"/>
            </w:pPr>
            <w:r>
              <w:rPr>
                <w:sz w:val="14"/>
              </w:rPr>
              <w:t>gtcrn/clean</w:t>
            </w:r>
          </w:p>
        </w:tc>
        <w:tc>
          <w:tcPr>
            <w:tcW w:type="dxa" w:w="680"/>
          </w:tcPr>
          <w:p>
            <w:pPr>
              <w:spacing w:before="0" w:after="0"/>
              <w:jc w:val="center"/>
            </w:pPr>
            <w:r>
              <w:rPr>
                <w:sz w:val="14"/>
              </w:rPr>
              <w:t>—</w:t>
            </w:r>
          </w:p>
        </w:tc>
        <w:tc>
          <w:tcPr>
            <w:tcW w:type="dxa" w:w="510"/>
          </w:tcPr>
          <w:p>
            <w:pPr>
              <w:spacing w:before="0" w:after="0"/>
              <w:jc w:val="center"/>
            </w:pPr>
            <w:r>
              <w:rPr>
                <w:sz w:val="14"/>
              </w:rPr>
              <w:t>—</w:t>
            </w:r>
          </w:p>
        </w:tc>
        <w:tc>
          <w:tcPr>
            <w:tcW w:type="dxa" w:w="624"/>
            <w:shd w:val="clear" w:color="auto" w:fill="c8e6c9"/>
          </w:tcPr>
          <w:p>
            <w:pPr>
              <w:spacing w:before="0" w:after="0"/>
              <w:jc w:val="center"/>
            </w:pPr>
            <w:r>
              <w:rPr>
                <w:sz w:val="14"/>
              </w:rPr>
              <w:t>0.296</w:t>
            </w:r>
          </w:p>
        </w:tc>
        <w:tc>
          <w:tcPr>
            <w:tcW w:type="dxa" w:w="624"/>
          </w:tcPr>
          <w:p>
            <w:pPr>
              <w:spacing w:before="0" w:after="0"/>
              <w:jc w:val="center"/>
            </w:pPr>
            <w:r>
              <w:rPr>
                <w:sz w:val="14"/>
              </w:rPr>
              <w:t>0.990</w:t>
            </w:r>
          </w:p>
        </w:tc>
      </w:tr>
      <w:tr>
        <w:tc>
          <w:tcPr>
            <w:tcW w:type="dxa" w:w="2551"/>
          </w:tcPr>
          <w:p>
            <w:pPr>
              <w:spacing w:before="0" w:after="0"/>
              <w:jc w:val="center"/>
            </w:pPr>
            <w:r>
              <w:rPr>
                <w:sz w:val="14"/>
              </w:rPr>
              <w:t>no_se/white/-5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0.977</w:t>
            </w:r>
          </w:p>
        </w:tc>
        <w:tc>
          <w:tcPr>
            <w:tcW w:type="dxa" w:w="624"/>
          </w:tcPr>
          <w:p>
            <w:pPr>
              <w:spacing w:before="0" w:after="0"/>
              <w:jc w:val="center"/>
            </w:pPr>
            <w:r>
              <w:rPr>
                <w:sz w:val="14"/>
              </w:rPr>
              <w:t>0.526</w:t>
            </w:r>
          </w:p>
        </w:tc>
      </w:tr>
      <w:tr>
        <w:tc>
          <w:tcPr>
            <w:tcW w:type="dxa" w:w="2551"/>
          </w:tcPr>
          <w:p>
            <w:pPr>
              <w:spacing w:before="0" w:after="0"/>
              <w:jc w:val="center"/>
            </w:pPr>
            <w:r>
              <w:rPr>
                <w:sz w:val="14"/>
              </w:rPr>
              <w:t>no_se/white/0</w:t>
            </w:r>
          </w:p>
        </w:tc>
        <w:tc>
          <w:tcPr>
            <w:tcW w:type="dxa" w:w="680"/>
          </w:tcPr>
          <w:p>
            <w:pPr>
              <w:spacing w:before="0" w:after="0"/>
              <w:jc w:val="center"/>
            </w:pPr>
            <w:r>
              <w:rPr>
                <w:sz w:val="14"/>
              </w:rPr>
              <w:t>white</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0.882</w:t>
            </w:r>
          </w:p>
        </w:tc>
        <w:tc>
          <w:tcPr>
            <w:tcW w:type="dxa" w:w="624"/>
          </w:tcPr>
          <w:p>
            <w:pPr>
              <w:spacing w:before="0" w:after="0"/>
              <w:jc w:val="center"/>
            </w:pPr>
            <w:r>
              <w:rPr>
                <w:sz w:val="14"/>
              </w:rPr>
              <w:t>0.585</w:t>
            </w:r>
          </w:p>
        </w:tc>
      </w:tr>
      <w:tr>
        <w:tc>
          <w:tcPr>
            <w:tcW w:type="dxa" w:w="2551"/>
          </w:tcPr>
          <w:p>
            <w:pPr>
              <w:spacing w:before="0" w:after="0"/>
              <w:jc w:val="center"/>
            </w:pPr>
            <w:r>
              <w:rPr>
                <w:sz w:val="14"/>
              </w:rPr>
              <w:t>no_se/white/5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e0b2"/>
          </w:tcPr>
          <w:p>
            <w:pPr>
              <w:spacing w:before="0" w:after="0"/>
              <w:jc w:val="center"/>
            </w:pPr>
            <w:r>
              <w:rPr>
                <w:sz w:val="14"/>
              </w:rPr>
              <w:t>0.662</w:t>
            </w:r>
          </w:p>
        </w:tc>
        <w:tc>
          <w:tcPr>
            <w:tcW w:type="dxa" w:w="624"/>
          </w:tcPr>
          <w:p>
            <w:pPr>
              <w:spacing w:before="0" w:after="0"/>
              <w:jc w:val="center"/>
            </w:pPr>
            <w:r>
              <w:rPr>
                <w:sz w:val="14"/>
              </w:rPr>
              <w:t>0.637</w:t>
            </w:r>
          </w:p>
        </w:tc>
      </w:tr>
      <w:tr>
        <w:tc>
          <w:tcPr>
            <w:tcW w:type="dxa" w:w="2551"/>
          </w:tcPr>
          <w:p>
            <w:pPr>
              <w:spacing w:before="0" w:after="0"/>
              <w:jc w:val="center"/>
            </w:pPr>
            <w:r>
              <w:rPr>
                <w:sz w:val="14"/>
              </w:rPr>
              <w:t>no_se/white/10</w:t>
            </w:r>
          </w:p>
        </w:tc>
        <w:tc>
          <w:tcPr>
            <w:tcW w:type="dxa" w:w="680"/>
          </w:tcPr>
          <w:p>
            <w:pPr>
              <w:spacing w:before="0" w:after="0"/>
              <w:jc w:val="center"/>
            </w:pPr>
            <w:r>
              <w:rPr>
                <w:sz w:val="14"/>
              </w:rPr>
              <w:t>white</w:t>
            </w:r>
          </w:p>
        </w:tc>
        <w:tc>
          <w:tcPr>
            <w:tcW w:type="dxa" w:w="510"/>
          </w:tcPr>
          <w:p>
            <w:pPr>
              <w:spacing w:before="0" w:after="0"/>
              <w:jc w:val="center"/>
            </w:pPr>
            <w:r>
              <w:rPr>
                <w:sz w:val="14"/>
              </w:rPr>
              <w:t>+10</w:t>
            </w:r>
          </w:p>
        </w:tc>
        <w:tc>
          <w:tcPr>
            <w:tcW w:type="dxa" w:w="624"/>
            <w:shd w:val="clear" w:color="auto" w:fill="ffe0b2"/>
          </w:tcPr>
          <w:p>
            <w:pPr>
              <w:spacing w:before="0" w:after="0"/>
              <w:jc w:val="center"/>
            </w:pPr>
            <w:r>
              <w:rPr>
                <w:sz w:val="14"/>
              </w:rPr>
              <w:t>0.512</w:t>
            </w:r>
          </w:p>
        </w:tc>
        <w:tc>
          <w:tcPr>
            <w:tcW w:type="dxa" w:w="624"/>
          </w:tcPr>
          <w:p>
            <w:pPr>
              <w:spacing w:before="0" w:after="0"/>
              <w:jc w:val="center"/>
            </w:pPr>
            <w:r>
              <w:rPr>
                <w:sz w:val="14"/>
              </w:rPr>
              <w:t>0.696</w:t>
            </w:r>
          </w:p>
        </w:tc>
      </w:tr>
      <w:tr>
        <w:tc>
          <w:tcPr>
            <w:tcW w:type="dxa" w:w="2551"/>
          </w:tcPr>
          <w:p>
            <w:pPr>
              <w:spacing w:before="0" w:after="0"/>
              <w:jc w:val="center"/>
            </w:pPr>
            <w:r>
              <w:rPr>
                <w:sz w:val="14"/>
              </w:rPr>
              <w:t>no_se/white/20</w:t>
            </w:r>
          </w:p>
        </w:tc>
        <w:tc>
          <w:tcPr>
            <w:tcW w:type="dxa" w:w="680"/>
          </w:tcPr>
          <w:p>
            <w:pPr>
              <w:spacing w:before="0" w:after="0"/>
              <w:jc w:val="center"/>
            </w:pPr>
            <w:r>
              <w:rPr>
                <w:sz w:val="14"/>
              </w:rPr>
              <w:t>white</w:t>
            </w:r>
          </w:p>
        </w:tc>
        <w:tc>
          <w:tcPr>
            <w:tcW w:type="dxa" w:w="510"/>
          </w:tcPr>
          <w:p>
            <w:pPr>
              <w:spacing w:before="0" w:after="0"/>
              <w:jc w:val="center"/>
            </w:pPr>
            <w:r>
              <w:rPr>
                <w:sz w:val="14"/>
              </w:rPr>
              <w:t>+20</w:t>
            </w:r>
          </w:p>
        </w:tc>
        <w:tc>
          <w:tcPr>
            <w:tcW w:type="dxa" w:w="624"/>
            <w:shd w:val="clear" w:color="auto" w:fill="fff9c4"/>
          </w:tcPr>
          <w:p>
            <w:pPr>
              <w:spacing w:before="0" w:after="0"/>
              <w:jc w:val="center"/>
            </w:pPr>
            <w:r>
              <w:rPr>
                <w:sz w:val="14"/>
              </w:rPr>
              <w:t>0.330</w:t>
            </w:r>
          </w:p>
        </w:tc>
        <w:tc>
          <w:tcPr>
            <w:tcW w:type="dxa" w:w="624"/>
          </w:tcPr>
          <w:p>
            <w:pPr>
              <w:spacing w:before="0" w:after="0"/>
              <w:jc w:val="center"/>
            </w:pPr>
            <w:r>
              <w:rPr>
                <w:sz w:val="14"/>
              </w:rPr>
              <w:t>0.854</w:t>
            </w:r>
          </w:p>
        </w:tc>
      </w:tr>
      <w:tr>
        <w:tc>
          <w:tcPr>
            <w:tcW w:type="dxa" w:w="2551"/>
          </w:tcPr>
          <w:p>
            <w:pPr>
              <w:spacing w:before="0" w:after="0"/>
              <w:jc w:val="center"/>
            </w:pPr>
            <w:r>
              <w:rPr>
                <w:sz w:val="14"/>
              </w:rPr>
              <w:t>no_se/pink/-5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1.042</w:t>
            </w:r>
          </w:p>
        </w:tc>
        <w:tc>
          <w:tcPr>
            <w:tcW w:type="dxa" w:w="624"/>
          </w:tcPr>
          <w:p>
            <w:pPr>
              <w:spacing w:before="0" w:after="0"/>
              <w:jc w:val="center"/>
            </w:pPr>
            <w:r>
              <w:rPr>
                <w:sz w:val="14"/>
              </w:rPr>
              <w:t>0.483</w:t>
            </w:r>
          </w:p>
        </w:tc>
      </w:tr>
      <w:tr>
        <w:tc>
          <w:tcPr>
            <w:tcW w:type="dxa" w:w="2551"/>
          </w:tcPr>
          <w:p>
            <w:pPr>
              <w:spacing w:before="0" w:after="0"/>
              <w:jc w:val="center"/>
            </w:pPr>
            <w:r>
              <w:rPr>
                <w:sz w:val="14"/>
              </w:rPr>
              <w:t>no_se/pink/0</w:t>
            </w:r>
          </w:p>
        </w:tc>
        <w:tc>
          <w:tcPr>
            <w:tcW w:type="dxa" w:w="680"/>
          </w:tcPr>
          <w:p>
            <w:pPr>
              <w:spacing w:before="0" w:after="0"/>
              <w:jc w:val="center"/>
            </w:pPr>
            <w:r>
              <w:rPr>
                <w:sz w:val="14"/>
              </w:rPr>
              <w:t>pink</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0.862</w:t>
            </w:r>
          </w:p>
        </w:tc>
        <w:tc>
          <w:tcPr>
            <w:tcW w:type="dxa" w:w="624"/>
          </w:tcPr>
          <w:p>
            <w:pPr>
              <w:spacing w:before="0" w:after="0"/>
              <w:jc w:val="center"/>
            </w:pPr>
            <w:r>
              <w:rPr>
                <w:sz w:val="14"/>
              </w:rPr>
              <w:t>0.577</w:t>
            </w:r>
          </w:p>
        </w:tc>
      </w:tr>
      <w:tr>
        <w:tc>
          <w:tcPr>
            <w:tcW w:type="dxa" w:w="2551"/>
          </w:tcPr>
          <w:p>
            <w:pPr>
              <w:spacing w:before="0" w:after="0"/>
              <w:jc w:val="center"/>
            </w:pPr>
            <w:r>
              <w:rPr>
                <w:sz w:val="14"/>
              </w:rPr>
              <w:t>no_se/pink/5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e0b2"/>
          </w:tcPr>
          <w:p>
            <w:pPr>
              <w:spacing w:before="0" w:after="0"/>
              <w:jc w:val="center"/>
            </w:pPr>
            <w:r>
              <w:rPr>
                <w:sz w:val="14"/>
              </w:rPr>
              <w:t>0.635</w:t>
            </w:r>
          </w:p>
        </w:tc>
        <w:tc>
          <w:tcPr>
            <w:tcW w:type="dxa" w:w="624"/>
          </w:tcPr>
          <w:p>
            <w:pPr>
              <w:spacing w:before="0" w:after="0"/>
              <w:jc w:val="center"/>
            </w:pPr>
            <w:r>
              <w:rPr>
                <w:sz w:val="14"/>
              </w:rPr>
              <w:t>0.660</w:t>
            </w:r>
          </w:p>
        </w:tc>
      </w:tr>
      <w:tr>
        <w:tc>
          <w:tcPr>
            <w:tcW w:type="dxa" w:w="2551"/>
          </w:tcPr>
          <w:p>
            <w:pPr>
              <w:spacing w:before="0" w:after="0"/>
              <w:jc w:val="center"/>
            </w:pPr>
            <w:r>
              <w:rPr>
                <w:sz w:val="14"/>
              </w:rPr>
              <w:t>no_se/pink/10</w:t>
            </w:r>
          </w:p>
        </w:tc>
        <w:tc>
          <w:tcPr>
            <w:tcW w:type="dxa" w:w="680"/>
          </w:tcPr>
          <w:p>
            <w:pPr>
              <w:spacing w:before="0" w:after="0"/>
              <w:jc w:val="center"/>
            </w:pPr>
            <w:r>
              <w:rPr>
                <w:sz w:val="14"/>
              </w:rPr>
              <w:t>pink</w:t>
            </w:r>
          </w:p>
        </w:tc>
        <w:tc>
          <w:tcPr>
            <w:tcW w:type="dxa" w:w="510"/>
          </w:tcPr>
          <w:p>
            <w:pPr>
              <w:spacing w:before="0" w:after="0"/>
              <w:jc w:val="center"/>
            </w:pPr>
            <w:r>
              <w:rPr>
                <w:sz w:val="14"/>
              </w:rPr>
              <w:t>+10</w:t>
            </w:r>
          </w:p>
        </w:tc>
        <w:tc>
          <w:tcPr>
            <w:tcW w:type="dxa" w:w="624"/>
            <w:shd w:val="clear" w:color="auto" w:fill="fff9c4"/>
          </w:tcPr>
          <w:p>
            <w:pPr>
              <w:spacing w:before="0" w:after="0"/>
              <w:jc w:val="center"/>
            </w:pPr>
            <w:r>
              <w:rPr>
                <w:sz w:val="14"/>
              </w:rPr>
              <w:t>0.463</w:t>
            </w:r>
          </w:p>
        </w:tc>
        <w:tc>
          <w:tcPr>
            <w:tcW w:type="dxa" w:w="624"/>
          </w:tcPr>
          <w:p>
            <w:pPr>
              <w:spacing w:before="0" w:after="0"/>
              <w:jc w:val="center"/>
            </w:pPr>
            <w:r>
              <w:rPr>
                <w:sz w:val="14"/>
              </w:rPr>
              <w:t>0.753</w:t>
            </w:r>
          </w:p>
        </w:tc>
      </w:tr>
      <w:tr>
        <w:tc>
          <w:tcPr>
            <w:tcW w:type="dxa" w:w="2551"/>
          </w:tcPr>
          <w:p>
            <w:pPr>
              <w:spacing w:before="0" w:after="0"/>
              <w:jc w:val="center"/>
            </w:pPr>
            <w:r>
              <w:rPr>
                <w:sz w:val="14"/>
              </w:rPr>
              <w:t>no_se/pink/20</w:t>
            </w:r>
          </w:p>
        </w:tc>
        <w:tc>
          <w:tcPr>
            <w:tcW w:type="dxa" w:w="680"/>
          </w:tcPr>
          <w:p>
            <w:pPr>
              <w:spacing w:before="0" w:after="0"/>
              <w:jc w:val="center"/>
            </w:pPr>
            <w:r>
              <w:rPr>
                <w:sz w:val="14"/>
              </w:rPr>
              <w:t>pink</w:t>
            </w:r>
          </w:p>
        </w:tc>
        <w:tc>
          <w:tcPr>
            <w:tcW w:type="dxa" w:w="510"/>
          </w:tcPr>
          <w:p>
            <w:pPr>
              <w:spacing w:before="0" w:after="0"/>
              <w:jc w:val="center"/>
            </w:pPr>
            <w:r>
              <w:rPr>
                <w:sz w:val="14"/>
              </w:rPr>
              <w:t>+20</w:t>
            </w:r>
          </w:p>
        </w:tc>
        <w:tc>
          <w:tcPr>
            <w:tcW w:type="dxa" w:w="624"/>
            <w:shd w:val="clear" w:color="auto" w:fill="fff9c4"/>
          </w:tcPr>
          <w:p>
            <w:pPr>
              <w:spacing w:before="0" w:after="0"/>
              <w:jc w:val="center"/>
            </w:pPr>
            <w:r>
              <w:rPr>
                <w:sz w:val="14"/>
              </w:rPr>
              <w:t>0.305</w:t>
            </w:r>
          </w:p>
        </w:tc>
        <w:tc>
          <w:tcPr>
            <w:tcW w:type="dxa" w:w="624"/>
          </w:tcPr>
          <w:p>
            <w:pPr>
              <w:spacing w:before="0" w:after="0"/>
              <w:jc w:val="center"/>
            </w:pPr>
            <w:r>
              <w:rPr>
                <w:sz w:val="14"/>
              </w:rPr>
              <w:t>0.936</w:t>
            </w:r>
          </w:p>
        </w:tc>
      </w:tr>
      <w:tr>
        <w:tc>
          <w:tcPr>
            <w:tcW w:type="dxa" w:w="2551"/>
          </w:tcPr>
          <w:p>
            <w:pPr>
              <w:spacing w:before="0" w:after="0"/>
              <w:jc w:val="center"/>
            </w:pPr>
            <w:r>
              <w:rPr>
                <w:sz w:val="14"/>
              </w:rPr>
              <w:t>dsp_only/white/-5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0.998</w:t>
            </w:r>
          </w:p>
        </w:tc>
        <w:tc>
          <w:tcPr>
            <w:tcW w:type="dxa" w:w="624"/>
          </w:tcPr>
          <w:p>
            <w:pPr>
              <w:spacing w:before="0" w:after="0"/>
              <w:jc w:val="center"/>
            </w:pPr>
            <w:r>
              <w:rPr>
                <w:sz w:val="14"/>
              </w:rPr>
              <w:t>0.388</w:t>
            </w:r>
          </w:p>
        </w:tc>
      </w:tr>
      <w:tr>
        <w:tc>
          <w:tcPr>
            <w:tcW w:type="dxa" w:w="2551"/>
          </w:tcPr>
          <w:p>
            <w:pPr>
              <w:spacing w:before="0" w:after="0"/>
              <w:jc w:val="center"/>
            </w:pPr>
            <w:r>
              <w:rPr>
                <w:sz w:val="14"/>
              </w:rPr>
              <w:t>dsp_only/white/0</w:t>
            </w:r>
          </w:p>
        </w:tc>
        <w:tc>
          <w:tcPr>
            <w:tcW w:type="dxa" w:w="680"/>
          </w:tcPr>
          <w:p>
            <w:pPr>
              <w:spacing w:before="0" w:after="0"/>
              <w:jc w:val="center"/>
            </w:pPr>
            <w:r>
              <w:rPr>
                <w:sz w:val="14"/>
              </w:rPr>
              <w:t>white</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1.028</w:t>
            </w:r>
          </w:p>
        </w:tc>
        <w:tc>
          <w:tcPr>
            <w:tcW w:type="dxa" w:w="624"/>
          </w:tcPr>
          <w:p>
            <w:pPr>
              <w:spacing w:before="0" w:after="0"/>
              <w:jc w:val="center"/>
            </w:pPr>
            <w:r>
              <w:rPr>
                <w:sz w:val="14"/>
              </w:rPr>
              <w:t>0.434</w:t>
            </w:r>
          </w:p>
        </w:tc>
      </w:tr>
      <w:tr>
        <w:tc>
          <w:tcPr>
            <w:tcW w:type="dxa" w:w="2551"/>
          </w:tcPr>
          <w:p>
            <w:pPr>
              <w:spacing w:before="0" w:after="0"/>
              <w:jc w:val="center"/>
            </w:pPr>
            <w:r>
              <w:rPr>
                <w:sz w:val="14"/>
              </w:rPr>
              <w:t>dsp_only/white/5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0.977</w:t>
            </w:r>
          </w:p>
        </w:tc>
        <w:tc>
          <w:tcPr>
            <w:tcW w:type="dxa" w:w="624"/>
          </w:tcPr>
          <w:p>
            <w:pPr>
              <w:spacing w:before="0" w:after="0"/>
              <w:jc w:val="center"/>
            </w:pPr>
            <w:r>
              <w:rPr>
                <w:sz w:val="14"/>
              </w:rPr>
              <w:t>0.482</w:t>
            </w:r>
          </w:p>
        </w:tc>
      </w:tr>
      <w:tr>
        <w:tc>
          <w:tcPr>
            <w:tcW w:type="dxa" w:w="2551"/>
          </w:tcPr>
          <w:p>
            <w:pPr>
              <w:spacing w:before="0" w:after="0"/>
              <w:jc w:val="center"/>
            </w:pPr>
            <w:r>
              <w:rPr>
                <w:sz w:val="14"/>
              </w:rPr>
              <w:t>dsp_only/white/10</w:t>
            </w:r>
          </w:p>
        </w:tc>
        <w:tc>
          <w:tcPr>
            <w:tcW w:type="dxa" w:w="680"/>
          </w:tcPr>
          <w:p>
            <w:pPr>
              <w:spacing w:before="0" w:after="0"/>
              <w:jc w:val="center"/>
            </w:pPr>
            <w:r>
              <w:rPr>
                <w:sz w:val="14"/>
              </w:rPr>
              <w:t>white</w:t>
            </w:r>
          </w:p>
        </w:tc>
        <w:tc>
          <w:tcPr>
            <w:tcW w:type="dxa" w:w="510"/>
          </w:tcPr>
          <w:p>
            <w:pPr>
              <w:spacing w:before="0" w:after="0"/>
              <w:jc w:val="center"/>
            </w:pPr>
            <w:r>
              <w:rPr>
                <w:sz w:val="14"/>
              </w:rPr>
              <w:t>+10</w:t>
            </w:r>
          </w:p>
        </w:tc>
        <w:tc>
          <w:tcPr>
            <w:tcW w:type="dxa" w:w="624"/>
            <w:shd w:val="clear" w:color="auto" w:fill="ffcdd2"/>
          </w:tcPr>
          <w:p>
            <w:pPr>
              <w:spacing w:before="0" w:after="0"/>
              <w:jc w:val="center"/>
            </w:pPr>
            <w:r>
              <w:rPr>
                <w:sz w:val="14"/>
              </w:rPr>
              <w:t>0.802</w:t>
            </w:r>
          </w:p>
        </w:tc>
        <w:tc>
          <w:tcPr>
            <w:tcW w:type="dxa" w:w="624"/>
          </w:tcPr>
          <w:p>
            <w:pPr>
              <w:spacing w:before="0" w:after="0"/>
              <w:jc w:val="center"/>
            </w:pPr>
            <w:r>
              <w:rPr>
                <w:sz w:val="14"/>
              </w:rPr>
              <w:t>0.540</w:t>
            </w:r>
          </w:p>
        </w:tc>
      </w:tr>
      <w:tr>
        <w:tc>
          <w:tcPr>
            <w:tcW w:type="dxa" w:w="2551"/>
          </w:tcPr>
          <w:p>
            <w:pPr>
              <w:spacing w:before="0" w:after="0"/>
              <w:jc w:val="center"/>
            </w:pPr>
            <w:r>
              <w:rPr>
                <w:sz w:val="14"/>
              </w:rPr>
              <w:t>dsp_only/white/20</w:t>
            </w:r>
          </w:p>
        </w:tc>
        <w:tc>
          <w:tcPr>
            <w:tcW w:type="dxa" w:w="680"/>
          </w:tcPr>
          <w:p>
            <w:pPr>
              <w:spacing w:before="0" w:after="0"/>
              <w:jc w:val="center"/>
            </w:pPr>
            <w:r>
              <w:rPr>
                <w:sz w:val="14"/>
              </w:rPr>
              <w:t>white</w:t>
            </w:r>
          </w:p>
        </w:tc>
        <w:tc>
          <w:tcPr>
            <w:tcW w:type="dxa" w:w="510"/>
          </w:tcPr>
          <w:p>
            <w:pPr>
              <w:spacing w:before="0" w:after="0"/>
              <w:jc w:val="center"/>
            </w:pPr>
            <w:r>
              <w:rPr>
                <w:sz w:val="14"/>
              </w:rPr>
              <w:t>+20</w:t>
            </w:r>
          </w:p>
        </w:tc>
        <w:tc>
          <w:tcPr>
            <w:tcW w:type="dxa" w:w="624"/>
            <w:shd w:val="clear" w:color="auto" w:fill="ffe0b2"/>
          </w:tcPr>
          <w:p>
            <w:pPr>
              <w:spacing w:before="0" w:after="0"/>
              <w:jc w:val="center"/>
            </w:pPr>
            <w:r>
              <w:rPr>
                <w:sz w:val="14"/>
              </w:rPr>
              <w:t>0.512</w:t>
            </w:r>
          </w:p>
        </w:tc>
        <w:tc>
          <w:tcPr>
            <w:tcW w:type="dxa" w:w="624"/>
          </w:tcPr>
          <w:p>
            <w:pPr>
              <w:spacing w:before="0" w:after="0"/>
              <w:jc w:val="center"/>
            </w:pPr>
            <w:r>
              <w:rPr>
                <w:sz w:val="14"/>
              </w:rPr>
              <w:t>0.699</w:t>
            </w:r>
          </w:p>
        </w:tc>
      </w:tr>
      <w:tr>
        <w:tc>
          <w:tcPr>
            <w:tcW w:type="dxa" w:w="2551"/>
          </w:tcPr>
          <w:p>
            <w:pPr>
              <w:spacing w:before="0" w:after="0"/>
              <w:jc w:val="center"/>
            </w:pPr>
            <w:r>
              <w:rPr>
                <w:sz w:val="14"/>
              </w:rPr>
              <w:t>dsp_only/pink/-5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1.001</w:t>
            </w:r>
          </w:p>
        </w:tc>
        <w:tc>
          <w:tcPr>
            <w:tcW w:type="dxa" w:w="624"/>
          </w:tcPr>
          <w:p>
            <w:pPr>
              <w:spacing w:before="0" w:after="0"/>
              <w:jc w:val="center"/>
            </w:pPr>
            <w:r>
              <w:rPr>
                <w:sz w:val="14"/>
              </w:rPr>
              <w:t>0.380</w:t>
            </w:r>
          </w:p>
        </w:tc>
      </w:tr>
      <w:tr>
        <w:tc>
          <w:tcPr>
            <w:tcW w:type="dxa" w:w="2551"/>
          </w:tcPr>
          <w:p>
            <w:pPr>
              <w:spacing w:before="0" w:after="0"/>
              <w:jc w:val="center"/>
            </w:pPr>
            <w:r>
              <w:rPr>
                <w:sz w:val="14"/>
              </w:rPr>
              <w:t>dsp_only/pink/0</w:t>
            </w:r>
          </w:p>
        </w:tc>
        <w:tc>
          <w:tcPr>
            <w:tcW w:type="dxa" w:w="680"/>
          </w:tcPr>
          <w:p>
            <w:pPr>
              <w:spacing w:before="0" w:after="0"/>
              <w:jc w:val="center"/>
            </w:pPr>
            <w:r>
              <w:rPr>
                <w:sz w:val="14"/>
              </w:rPr>
              <w:t>pink</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1.010</w:t>
            </w:r>
          </w:p>
        </w:tc>
        <w:tc>
          <w:tcPr>
            <w:tcW w:type="dxa" w:w="624"/>
          </w:tcPr>
          <w:p>
            <w:pPr>
              <w:spacing w:before="0" w:after="0"/>
              <w:jc w:val="center"/>
            </w:pPr>
            <w:r>
              <w:rPr>
                <w:sz w:val="14"/>
              </w:rPr>
              <w:t>0.444</w:t>
            </w:r>
          </w:p>
        </w:tc>
      </w:tr>
      <w:tr>
        <w:tc>
          <w:tcPr>
            <w:tcW w:type="dxa" w:w="2551"/>
          </w:tcPr>
          <w:p>
            <w:pPr>
              <w:spacing w:before="0" w:after="0"/>
              <w:jc w:val="center"/>
            </w:pPr>
            <w:r>
              <w:rPr>
                <w:sz w:val="14"/>
              </w:rPr>
              <w:t>dsp_only/pink/5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0.843</w:t>
            </w:r>
          </w:p>
        </w:tc>
        <w:tc>
          <w:tcPr>
            <w:tcW w:type="dxa" w:w="624"/>
          </w:tcPr>
          <w:p>
            <w:pPr>
              <w:spacing w:before="0" w:after="0"/>
              <w:jc w:val="center"/>
            </w:pPr>
            <w:r>
              <w:rPr>
                <w:sz w:val="14"/>
              </w:rPr>
              <w:t>0.510</w:t>
            </w:r>
          </w:p>
        </w:tc>
      </w:tr>
      <w:tr>
        <w:tc>
          <w:tcPr>
            <w:tcW w:type="dxa" w:w="2551"/>
          </w:tcPr>
          <w:p>
            <w:pPr>
              <w:spacing w:before="0" w:after="0"/>
              <w:jc w:val="center"/>
            </w:pPr>
            <w:r>
              <w:rPr>
                <w:sz w:val="14"/>
              </w:rPr>
              <w:t>dsp_only/pink/10</w:t>
            </w:r>
          </w:p>
        </w:tc>
        <w:tc>
          <w:tcPr>
            <w:tcW w:type="dxa" w:w="680"/>
          </w:tcPr>
          <w:p>
            <w:pPr>
              <w:spacing w:before="0" w:after="0"/>
              <w:jc w:val="center"/>
            </w:pPr>
            <w:r>
              <w:rPr>
                <w:sz w:val="14"/>
              </w:rPr>
              <w:t>pink</w:t>
            </w:r>
          </w:p>
        </w:tc>
        <w:tc>
          <w:tcPr>
            <w:tcW w:type="dxa" w:w="510"/>
          </w:tcPr>
          <w:p>
            <w:pPr>
              <w:spacing w:before="0" w:after="0"/>
              <w:jc w:val="center"/>
            </w:pPr>
            <w:r>
              <w:rPr>
                <w:sz w:val="14"/>
              </w:rPr>
              <w:t>+10</w:t>
            </w:r>
          </w:p>
        </w:tc>
        <w:tc>
          <w:tcPr>
            <w:tcW w:type="dxa" w:w="624"/>
            <w:shd w:val="clear" w:color="auto" w:fill="ffe0b2"/>
          </w:tcPr>
          <w:p>
            <w:pPr>
              <w:spacing w:before="0" w:after="0"/>
              <w:jc w:val="center"/>
            </w:pPr>
            <w:r>
              <w:rPr>
                <w:sz w:val="14"/>
              </w:rPr>
              <w:t>0.654</w:t>
            </w:r>
          </w:p>
        </w:tc>
        <w:tc>
          <w:tcPr>
            <w:tcW w:type="dxa" w:w="624"/>
          </w:tcPr>
          <w:p>
            <w:pPr>
              <w:spacing w:before="0" w:after="0"/>
              <w:jc w:val="center"/>
            </w:pPr>
            <w:r>
              <w:rPr>
                <w:sz w:val="14"/>
              </w:rPr>
              <w:t>0.599</w:t>
            </w:r>
          </w:p>
        </w:tc>
      </w:tr>
      <w:tr>
        <w:tc>
          <w:tcPr>
            <w:tcW w:type="dxa" w:w="2551"/>
          </w:tcPr>
          <w:p>
            <w:pPr>
              <w:spacing w:before="0" w:after="0"/>
              <w:jc w:val="center"/>
            </w:pPr>
            <w:r>
              <w:rPr>
                <w:sz w:val="14"/>
              </w:rPr>
              <w:t>dsp_only/pink/20</w:t>
            </w:r>
          </w:p>
        </w:tc>
        <w:tc>
          <w:tcPr>
            <w:tcW w:type="dxa" w:w="680"/>
          </w:tcPr>
          <w:p>
            <w:pPr>
              <w:spacing w:before="0" w:after="0"/>
              <w:jc w:val="center"/>
            </w:pPr>
            <w:r>
              <w:rPr>
                <w:sz w:val="14"/>
              </w:rPr>
              <w:t>pink</w:t>
            </w:r>
          </w:p>
        </w:tc>
        <w:tc>
          <w:tcPr>
            <w:tcW w:type="dxa" w:w="510"/>
          </w:tcPr>
          <w:p>
            <w:pPr>
              <w:spacing w:before="0" w:after="0"/>
              <w:jc w:val="center"/>
            </w:pPr>
            <w:r>
              <w:rPr>
                <w:sz w:val="14"/>
              </w:rPr>
              <w:t>+20</w:t>
            </w:r>
          </w:p>
        </w:tc>
        <w:tc>
          <w:tcPr>
            <w:tcW w:type="dxa" w:w="624"/>
            <w:shd w:val="clear" w:color="auto" w:fill="fff9c4"/>
          </w:tcPr>
          <w:p>
            <w:pPr>
              <w:spacing w:before="0" w:after="0"/>
              <w:jc w:val="center"/>
            </w:pPr>
            <w:r>
              <w:rPr>
                <w:sz w:val="14"/>
              </w:rPr>
              <w:t>0.489</w:t>
            </w:r>
          </w:p>
        </w:tc>
        <w:tc>
          <w:tcPr>
            <w:tcW w:type="dxa" w:w="624"/>
          </w:tcPr>
          <w:p>
            <w:pPr>
              <w:spacing w:before="0" w:after="0"/>
              <w:jc w:val="center"/>
            </w:pPr>
            <w:r>
              <w:rPr>
                <w:sz w:val="14"/>
              </w:rPr>
              <w:t>0.782</w:t>
            </w:r>
          </w:p>
        </w:tc>
      </w:tr>
      <w:tr>
        <w:tc>
          <w:tcPr>
            <w:tcW w:type="dxa" w:w="2551"/>
          </w:tcPr>
          <w:p>
            <w:pPr>
              <w:spacing w:before="0" w:after="0"/>
              <w:jc w:val="center"/>
            </w:pPr>
            <w:r>
              <w:rPr>
                <w:sz w:val="14"/>
              </w:rPr>
              <w:t>gtcrn/white/-5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1.188</w:t>
            </w:r>
          </w:p>
        </w:tc>
        <w:tc>
          <w:tcPr>
            <w:tcW w:type="dxa" w:w="624"/>
          </w:tcPr>
          <w:p>
            <w:pPr>
              <w:spacing w:before="0" w:after="0"/>
              <w:jc w:val="center"/>
            </w:pPr>
            <w:r>
              <w:rPr>
                <w:sz w:val="14"/>
              </w:rPr>
              <w:t>0.659</w:t>
            </w:r>
          </w:p>
        </w:tc>
      </w:tr>
      <w:tr>
        <w:tc>
          <w:tcPr>
            <w:tcW w:type="dxa" w:w="2551"/>
          </w:tcPr>
          <w:p>
            <w:pPr>
              <w:spacing w:before="0" w:after="0"/>
              <w:jc w:val="center"/>
            </w:pPr>
            <w:r>
              <w:rPr>
                <w:sz w:val="14"/>
              </w:rPr>
              <w:t>gtcrn/white/0</w:t>
            </w:r>
          </w:p>
        </w:tc>
        <w:tc>
          <w:tcPr>
            <w:tcW w:type="dxa" w:w="680"/>
          </w:tcPr>
          <w:p>
            <w:pPr>
              <w:spacing w:before="0" w:after="0"/>
              <w:jc w:val="center"/>
            </w:pPr>
            <w:r>
              <w:rPr>
                <w:sz w:val="14"/>
              </w:rPr>
              <w:t>white</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1.214</w:t>
            </w:r>
          </w:p>
        </w:tc>
        <w:tc>
          <w:tcPr>
            <w:tcW w:type="dxa" w:w="624"/>
          </w:tcPr>
          <w:p>
            <w:pPr>
              <w:spacing w:before="0" w:after="0"/>
              <w:jc w:val="center"/>
            </w:pPr>
            <w:r>
              <w:rPr>
                <w:sz w:val="14"/>
              </w:rPr>
              <w:t>0.721</w:t>
            </w:r>
          </w:p>
        </w:tc>
      </w:tr>
      <w:tr>
        <w:tc>
          <w:tcPr>
            <w:tcW w:type="dxa" w:w="2551"/>
          </w:tcPr>
          <w:p>
            <w:pPr>
              <w:spacing w:before="0" w:after="0"/>
              <w:jc w:val="center"/>
            </w:pPr>
            <w:r>
              <w:rPr>
                <w:sz w:val="14"/>
              </w:rPr>
              <w:t>gtcrn/white/5</w:t>
            </w:r>
          </w:p>
        </w:tc>
        <w:tc>
          <w:tcPr>
            <w:tcW w:type="dxa" w:w="680"/>
          </w:tcPr>
          <w:p>
            <w:pPr>
              <w:spacing w:before="0" w:after="0"/>
              <w:jc w:val="center"/>
            </w:pPr>
            <w:r>
              <w:rPr>
                <w:sz w:val="14"/>
              </w:rPr>
              <w:t>white</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0.982</w:t>
            </w:r>
          </w:p>
        </w:tc>
        <w:tc>
          <w:tcPr>
            <w:tcW w:type="dxa" w:w="624"/>
          </w:tcPr>
          <w:p>
            <w:pPr>
              <w:spacing w:before="0" w:after="0"/>
              <w:jc w:val="center"/>
            </w:pPr>
            <w:r>
              <w:rPr>
                <w:sz w:val="14"/>
              </w:rPr>
              <w:t>0.767</w:t>
            </w:r>
          </w:p>
        </w:tc>
      </w:tr>
      <w:tr>
        <w:tc>
          <w:tcPr>
            <w:tcW w:type="dxa" w:w="2551"/>
          </w:tcPr>
          <w:p>
            <w:pPr>
              <w:spacing w:before="0" w:after="0"/>
              <w:jc w:val="center"/>
            </w:pPr>
            <w:r>
              <w:rPr>
                <w:sz w:val="14"/>
              </w:rPr>
              <w:t>gtcrn/white/10</w:t>
            </w:r>
          </w:p>
        </w:tc>
        <w:tc>
          <w:tcPr>
            <w:tcW w:type="dxa" w:w="680"/>
          </w:tcPr>
          <w:p>
            <w:pPr>
              <w:spacing w:before="0" w:after="0"/>
              <w:jc w:val="center"/>
            </w:pPr>
            <w:r>
              <w:rPr>
                <w:sz w:val="14"/>
              </w:rPr>
              <w:t>white</w:t>
            </w:r>
          </w:p>
        </w:tc>
        <w:tc>
          <w:tcPr>
            <w:tcW w:type="dxa" w:w="510"/>
          </w:tcPr>
          <w:p>
            <w:pPr>
              <w:spacing w:before="0" w:after="0"/>
              <w:jc w:val="center"/>
            </w:pPr>
            <w:r>
              <w:rPr>
                <w:sz w:val="14"/>
              </w:rPr>
              <w:t>+10</w:t>
            </w:r>
          </w:p>
        </w:tc>
        <w:tc>
          <w:tcPr>
            <w:tcW w:type="dxa" w:w="624"/>
            <w:shd w:val="clear" w:color="auto" w:fill="ffe0b2"/>
          </w:tcPr>
          <w:p>
            <w:pPr>
              <w:spacing w:before="0" w:after="0"/>
              <w:jc w:val="center"/>
            </w:pPr>
            <w:r>
              <w:rPr>
                <w:sz w:val="14"/>
              </w:rPr>
              <w:t>0.708</w:t>
            </w:r>
          </w:p>
        </w:tc>
        <w:tc>
          <w:tcPr>
            <w:tcW w:type="dxa" w:w="624"/>
          </w:tcPr>
          <w:p>
            <w:pPr>
              <w:spacing w:before="0" w:after="0"/>
              <w:jc w:val="center"/>
            </w:pPr>
            <w:r>
              <w:rPr>
                <w:sz w:val="14"/>
              </w:rPr>
              <w:t>0.810</w:t>
            </w:r>
          </w:p>
        </w:tc>
      </w:tr>
      <w:tr>
        <w:tc>
          <w:tcPr>
            <w:tcW w:type="dxa" w:w="2551"/>
          </w:tcPr>
          <w:p>
            <w:pPr>
              <w:spacing w:before="0" w:after="0"/>
              <w:jc w:val="center"/>
            </w:pPr>
            <w:r>
              <w:rPr>
                <w:sz w:val="14"/>
              </w:rPr>
              <w:t>gtcrn/white/20</w:t>
            </w:r>
          </w:p>
        </w:tc>
        <w:tc>
          <w:tcPr>
            <w:tcW w:type="dxa" w:w="680"/>
          </w:tcPr>
          <w:p>
            <w:pPr>
              <w:spacing w:before="0" w:after="0"/>
              <w:jc w:val="center"/>
            </w:pPr>
            <w:r>
              <w:rPr>
                <w:sz w:val="14"/>
              </w:rPr>
              <w:t>white</w:t>
            </w:r>
          </w:p>
        </w:tc>
        <w:tc>
          <w:tcPr>
            <w:tcW w:type="dxa" w:w="510"/>
          </w:tcPr>
          <w:p>
            <w:pPr>
              <w:spacing w:before="0" w:after="0"/>
              <w:jc w:val="center"/>
            </w:pPr>
            <w:r>
              <w:rPr>
                <w:sz w:val="14"/>
              </w:rPr>
              <w:t>+20</w:t>
            </w:r>
          </w:p>
        </w:tc>
        <w:tc>
          <w:tcPr>
            <w:tcW w:type="dxa" w:w="624"/>
            <w:shd w:val="clear" w:color="auto" w:fill="fff9c4"/>
          </w:tcPr>
          <w:p>
            <w:pPr>
              <w:spacing w:before="0" w:after="0"/>
              <w:jc w:val="center"/>
            </w:pPr>
            <w:r>
              <w:rPr>
                <w:sz w:val="14"/>
              </w:rPr>
              <w:t>0.378</w:t>
            </w:r>
          </w:p>
        </w:tc>
        <w:tc>
          <w:tcPr>
            <w:tcW w:type="dxa" w:w="624"/>
          </w:tcPr>
          <w:p>
            <w:pPr>
              <w:spacing w:before="0" w:after="0"/>
              <w:jc w:val="center"/>
            </w:pPr>
            <w:r>
              <w:rPr>
                <w:sz w:val="14"/>
              </w:rPr>
              <w:t>0.900</w:t>
            </w:r>
          </w:p>
        </w:tc>
      </w:tr>
      <w:tr>
        <w:tc>
          <w:tcPr>
            <w:tcW w:type="dxa" w:w="2551"/>
          </w:tcPr>
          <w:p>
            <w:pPr>
              <w:spacing w:before="0" w:after="0"/>
              <w:jc w:val="center"/>
            </w:pPr>
            <w:r>
              <w:rPr>
                <w:sz w:val="14"/>
              </w:rPr>
              <w:t>gtcrn/pink/-5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1.081</w:t>
            </w:r>
          </w:p>
        </w:tc>
        <w:tc>
          <w:tcPr>
            <w:tcW w:type="dxa" w:w="624"/>
          </w:tcPr>
          <w:p>
            <w:pPr>
              <w:spacing w:before="0" w:after="0"/>
              <w:jc w:val="center"/>
            </w:pPr>
            <w:r>
              <w:rPr>
                <w:sz w:val="14"/>
              </w:rPr>
              <w:t>0.624</w:t>
            </w:r>
          </w:p>
        </w:tc>
      </w:tr>
      <w:tr>
        <w:tc>
          <w:tcPr>
            <w:tcW w:type="dxa" w:w="2551"/>
          </w:tcPr>
          <w:p>
            <w:pPr>
              <w:spacing w:before="0" w:after="0"/>
              <w:jc w:val="center"/>
            </w:pPr>
            <w:r>
              <w:rPr>
                <w:sz w:val="14"/>
              </w:rPr>
              <w:t>gtcrn/pink/0</w:t>
            </w:r>
          </w:p>
        </w:tc>
        <w:tc>
          <w:tcPr>
            <w:tcW w:type="dxa" w:w="680"/>
          </w:tcPr>
          <w:p>
            <w:pPr>
              <w:spacing w:before="0" w:after="0"/>
              <w:jc w:val="center"/>
            </w:pPr>
            <w:r>
              <w:rPr>
                <w:sz w:val="14"/>
              </w:rPr>
              <w:t>pink</w:t>
            </w:r>
          </w:p>
        </w:tc>
        <w:tc>
          <w:tcPr>
            <w:tcW w:type="dxa" w:w="510"/>
          </w:tcPr>
          <w:p>
            <w:pPr>
              <w:spacing w:before="0" w:after="0"/>
              <w:jc w:val="center"/>
            </w:pPr>
            <w:r>
              <w:rPr>
                <w:sz w:val="14"/>
              </w:rPr>
              <w:t>+0</w:t>
            </w:r>
          </w:p>
        </w:tc>
        <w:tc>
          <w:tcPr>
            <w:tcW w:type="dxa" w:w="624"/>
            <w:shd w:val="clear" w:color="auto" w:fill="ffcdd2"/>
          </w:tcPr>
          <w:p>
            <w:pPr>
              <w:spacing w:before="0" w:after="0"/>
              <w:jc w:val="center"/>
            </w:pPr>
            <w:r>
              <w:rPr>
                <w:sz w:val="14"/>
              </w:rPr>
              <w:t>1.108</w:t>
            </w:r>
          </w:p>
        </w:tc>
        <w:tc>
          <w:tcPr>
            <w:tcW w:type="dxa" w:w="624"/>
          </w:tcPr>
          <w:p>
            <w:pPr>
              <w:spacing w:before="0" w:after="0"/>
              <w:jc w:val="center"/>
            </w:pPr>
            <w:r>
              <w:rPr>
                <w:sz w:val="14"/>
              </w:rPr>
              <w:t>0.726</w:t>
            </w:r>
          </w:p>
        </w:tc>
      </w:tr>
      <w:tr>
        <w:tc>
          <w:tcPr>
            <w:tcW w:type="dxa" w:w="2551"/>
          </w:tcPr>
          <w:p>
            <w:pPr>
              <w:spacing w:before="0" w:after="0"/>
              <w:jc w:val="center"/>
            </w:pPr>
            <w:r>
              <w:rPr>
                <w:sz w:val="14"/>
              </w:rPr>
              <w:t>gtcrn/pink/5</w:t>
            </w:r>
          </w:p>
        </w:tc>
        <w:tc>
          <w:tcPr>
            <w:tcW w:type="dxa" w:w="680"/>
          </w:tcPr>
          <w:p>
            <w:pPr>
              <w:spacing w:before="0" w:after="0"/>
              <w:jc w:val="center"/>
            </w:pPr>
            <w:r>
              <w:rPr>
                <w:sz w:val="14"/>
              </w:rPr>
              <w:t>pink</w:t>
            </w:r>
          </w:p>
        </w:tc>
        <w:tc>
          <w:tcPr>
            <w:tcW w:type="dxa" w:w="510"/>
          </w:tcPr>
          <w:p>
            <w:pPr>
              <w:spacing w:before="0" w:after="0"/>
              <w:jc w:val="center"/>
            </w:pPr>
            <w:r>
              <w:rPr>
                <w:sz w:val="14"/>
              </w:rPr>
              <w:t>+5</w:t>
            </w:r>
          </w:p>
        </w:tc>
        <w:tc>
          <w:tcPr>
            <w:tcW w:type="dxa" w:w="624"/>
            <w:shd w:val="clear" w:color="auto" w:fill="ffcdd2"/>
          </w:tcPr>
          <w:p>
            <w:pPr>
              <w:spacing w:before="0" w:after="0"/>
              <w:jc w:val="center"/>
            </w:pPr>
            <w:r>
              <w:rPr>
                <w:sz w:val="14"/>
              </w:rPr>
              <w:t>0.854</w:t>
            </w:r>
          </w:p>
        </w:tc>
        <w:tc>
          <w:tcPr>
            <w:tcW w:type="dxa" w:w="624"/>
          </w:tcPr>
          <w:p>
            <w:pPr>
              <w:spacing w:before="0" w:after="0"/>
              <w:jc w:val="center"/>
            </w:pPr>
            <w:r>
              <w:rPr>
                <w:sz w:val="14"/>
              </w:rPr>
              <w:t>0.788</w:t>
            </w:r>
          </w:p>
        </w:tc>
      </w:tr>
      <w:tr>
        <w:tc>
          <w:tcPr>
            <w:tcW w:type="dxa" w:w="2551"/>
          </w:tcPr>
          <w:p>
            <w:pPr>
              <w:spacing w:before="0" w:after="0"/>
              <w:jc w:val="center"/>
            </w:pPr>
            <w:r>
              <w:rPr>
                <w:sz w:val="14"/>
              </w:rPr>
              <w:t>gtcrn/pink/10</w:t>
            </w:r>
          </w:p>
        </w:tc>
        <w:tc>
          <w:tcPr>
            <w:tcW w:type="dxa" w:w="680"/>
          </w:tcPr>
          <w:p>
            <w:pPr>
              <w:spacing w:before="0" w:after="0"/>
              <w:jc w:val="center"/>
            </w:pPr>
            <w:r>
              <w:rPr>
                <w:sz w:val="14"/>
              </w:rPr>
              <w:t>pink</w:t>
            </w:r>
          </w:p>
        </w:tc>
        <w:tc>
          <w:tcPr>
            <w:tcW w:type="dxa" w:w="510"/>
          </w:tcPr>
          <w:p>
            <w:pPr>
              <w:spacing w:before="0" w:after="0"/>
              <w:jc w:val="center"/>
            </w:pPr>
            <w:r>
              <w:rPr>
                <w:sz w:val="14"/>
              </w:rPr>
              <w:t>+10</w:t>
            </w:r>
          </w:p>
        </w:tc>
        <w:tc>
          <w:tcPr>
            <w:tcW w:type="dxa" w:w="624"/>
            <w:shd w:val="clear" w:color="auto" w:fill="ffe0b2"/>
          </w:tcPr>
          <w:p>
            <w:pPr>
              <w:spacing w:before="0" w:after="0"/>
              <w:jc w:val="center"/>
            </w:pPr>
            <w:r>
              <w:rPr>
                <w:sz w:val="14"/>
              </w:rPr>
              <w:t>0.542</w:t>
            </w:r>
          </w:p>
        </w:tc>
        <w:tc>
          <w:tcPr>
            <w:tcW w:type="dxa" w:w="624"/>
          </w:tcPr>
          <w:p>
            <w:pPr>
              <w:spacing w:before="0" w:after="0"/>
              <w:jc w:val="center"/>
            </w:pPr>
            <w:r>
              <w:rPr>
                <w:sz w:val="14"/>
              </w:rPr>
              <w:t>0.846</w:t>
            </w:r>
          </w:p>
        </w:tc>
      </w:tr>
      <w:tr>
        <w:tc>
          <w:tcPr>
            <w:tcW w:type="dxa" w:w="2551"/>
          </w:tcPr>
          <w:p>
            <w:pPr>
              <w:spacing w:before="0" w:after="0"/>
              <w:jc w:val="center"/>
            </w:pPr>
            <w:r>
              <w:rPr>
                <w:sz w:val="14"/>
              </w:rPr>
              <w:t>gtcrn/pink/20</w:t>
            </w:r>
          </w:p>
        </w:tc>
        <w:tc>
          <w:tcPr>
            <w:tcW w:type="dxa" w:w="680"/>
          </w:tcPr>
          <w:p>
            <w:pPr>
              <w:spacing w:before="0" w:after="0"/>
              <w:jc w:val="center"/>
            </w:pPr>
            <w:r>
              <w:rPr>
                <w:sz w:val="14"/>
              </w:rPr>
              <w:t>pink</w:t>
            </w:r>
          </w:p>
        </w:tc>
        <w:tc>
          <w:tcPr>
            <w:tcW w:type="dxa" w:w="510"/>
          </w:tcPr>
          <w:p>
            <w:pPr>
              <w:spacing w:before="0" w:after="0"/>
              <w:jc w:val="center"/>
            </w:pPr>
            <w:r>
              <w:rPr>
                <w:sz w:val="14"/>
              </w:rPr>
              <w:t>+20</w:t>
            </w:r>
          </w:p>
        </w:tc>
        <w:tc>
          <w:tcPr>
            <w:tcW w:type="dxa" w:w="624"/>
            <w:shd w:val="clear" w:color="auto" w:fill="fff9c4"/>
          </w:tcPr>
          <w:p>
            <w:pPr>
              <w:spacing w:before="0" w:after="0"/>
              <w:jc w:val="center"/>
            </w:pPr>
            <w:r>
              <w:rPr>
                <w:sz w:val="14"/>
              </w:rPr>
              <w:t>0.370</w:t>
            </w:r>
          </w:p>
        </w:tc>
        <w:tc>
          <w:tcPr>
            <w:tcW w:type="dxa" w:w="624"/>
          </w:tcPr>
          <w:p>
            <w:pPr>
              <w:spacing w:before="0" w:after="0"/>
              <w:jc w:val="center"/>
            </w:pPr>
            <w:r>
              <w:rPr>
                <w:sz w:val="14"/>
              </w:rPr>
              <w:t>0.936</w:t>
            </w:r>
          </w:p>
        </w:tc>
      </w:tr>
    </w:tbl>
    <w:p>
      <w:r>
        <w:rPr>
          <w:sz w:val="16"/>
        </w:rPr>
        <w:t>色凡例：緑(CER&lt;0.30)・黄(0.30–0.50)・橙(0.50–0.80)・赤(≥0.80)</w:t>
      </w:r>
    </w:p>
    <w:p>
      <w:pPr>
        <w:pBdr>
          <w:top w:val="single" w:sz="6" w:space="1" w:color="000000"/>
        </w:pBdr>
        <w:spacing w:before="80" w:after="80"/>
      </w:pPr>
    </w:p>
    <w:p>
      <w:r>
        <w:rPr>
          <w:color w:val="555555"/>
          <w:sz w:val="16"/>
        </w:rPr>
        <w:t>Title (EN): Quantitative Evaluation of Speech Enhancement Effects on ASR for Bone Conduction Microphone Audio.  Author (EN): Author Name (Affiliation)</w:t>
      </w:r>
    </w:p>
    <w:sectPr w:rsidR="00FC693F" w:rsidRPr="0006063C" w:rsidSect="00034616">
      <w:headerReference w:type="default" r:id="rId9"/>
      <w:footerReference w:type="default" r:id="rId10"/>
      <w:pgSz w:w="11906" w:h="16838"/>
      <w:pgMar w:top="964" w:right="1304" w:bottom="1077" w:left="1304" w:header="510" w:footer="510" w:gutter="0"/>
      <w:docGrid w:linePitch="360"/>
      <w:cols w:num="2" w:space="425"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000000"/>
      </w:pBdr>
    </w:pPr>
    <w:r>
      <w:rPr>
        <w:sz w:val="16"/>
      </w:rPr>
      <w:t>日本音響学会　2026年春季研究発表会</w:t>
    </w:r>
    <w:r>
      <w:tab/>
    </w:r>
    <w:r>
      <w:rPr>
        <w:sz w:val="16"/>
      </w:rPr>
      <w:t>論文番号：X-X-XX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