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喉マイク音声に対する音声強調が</w:t>
        <w:br/>
        <w:t>自動音声認識に与える影響の定量的評価</w:t>
      </w:r>
    </w:p>
    <w:p>
      <w:pPr>
        <w:jc w:val="center"/>
      </w:pPr>
      <w:r>
        <w:rPr>
          <w:color w:val="37474F"/>
          <w:sz w:val="20"/>
        </w:rPr>
        <w:t>Quantitative Evaluation of Speech Enhancement Effects</w:t>
        <w:br/>
        <w:t>on Automatic Speech Recognition for Bone Conduction Microphone Audio</w:t>
      </w:r>
    </w:p>
    <w:p>
      <w:pPr>
        <w:jc w:val="center"/>
      </w:pPr>
      <w:r>
        <w:rPr>
          <w:sz w:val="20"/>
        </w:rPr>
        <w:t>○ 著者名　（所属機関）　連絡先メールアドレス</w:t>
      </w:r>
    </w:p>
    <w:p/>
    <w:p>
      <w:pPr>
        <w:pStyle w:val="Heading2"/>
        <w:jc w:val="left"/>
      </w:pPr>
      <w:r>
        <w:t>あらまし</w:t>
      </w:r>
    </w:p>
    <w:p>
      <w:pPr>
        <w:spacing w:before="0" w:after="80"/>
        <w:jc w:val="both"/>
      </w:pPr>
      <w:r>
        <w:rPr>
          <w:sz w:val="20"/>
        </w:rPr>
        <w:t>骨伝導マイク（喉マイク）は高騒音環境での音声収音に有用だが，その出力音声は低域偏重かつ高周波欠落という独特の周波数特性を持つ．本研究では，DSPベースおよびGTCRNニューラルSEを喉マイク音声に適用し，Whisperを用いた文字誤り率（CER）への影響を34条件にわたり定量評価した．TAPSデータセット（韓国語，50発話）を用い，白色・ピンクノイズをSNR −5〜+20 dBで付加した．全ノイズ条件でSE適用後のCERが悪化し，特にGTCRNはSTOIを改善しながらCERを悪化させる知覚品質とASR性能の乖離を示した．</w:t>
      </w:r>
    </w:p>
    <w:p/>
    <w:p>
      <w:pPr>
        <w:pStyle w:val="Heading1"/>
        <w:jc w:val="left"/>
      </w:pPr>
      <w:r>
        <w:t>1. はじめに</w:t>
      </w:r>
    </w:p>
    <w:p>
      <w:pPr>
        <w:spacing w:before="0" w:after="80"/>
        <w:ind w:firstLine="283"/>
        <w:jc w:val="both"/>
      </w:pPr>
      <w:r>
        <w:rPr>
          <w:sz w:val="20"/>
        </w:rPr>
        <w:t>骨伝導マイク（喉マイク・振動ピックアップ）は，ヘルメット着用や騒音環境下でも安定した音声収音が可能なため，軍事・工業・スポーツ用途で利用されている．しかし，その出力音声は低域エネルギーが支配的であり，高周波成分が著しく欠落するという特性を持つ．この特性により，一般的なASRシステムでは高いCERが生じる．</w:t>
      </w:r>
    </w:p>
    <w:p>
      <w:pPr>
        <w:spacing w:before="0" w:after="80"/>
        <w:ind w:firstLine="283"/>
        <w:jc w:val="both"/>
      </w:pPr>
      <w:r>
        <w:rPr>
          <w:sz w:val="20"/>
        </w:rPr>
        <w:t>音声強調（Speech Enhancement: SE）は，ノイズ除去・音質改善を目的とした前処理として広く用いられる．しかし，Mawalimら [1] は深層学習型SEが実環境ではASR性能を必ずしも改善しないことを示した．またOchiaiら [2] は，SEが導入するアーティファクト誤差が残留ノイズよりもASRに有害であることを定量的に示している．</w:t>
      </w:r>
    </w:p>
    <w:p>
      <w:pPr>
        <w:spacing w:before="0" w:after="80"/>
        <w:ind w:firstLine="283"/>
        <w:jc w:val="both"/>
      </w:pPr>
      <w:r>
        <w:rPr>
          <w:sz w:val="20"/>
        </w:rPr>
        <w:t>本稿では，喉マイク音声という特殊なドメインにおいて，DSP-onlyおよびGTCRN [3] によるSEがWhisperのCERに与える影響を34条件で評価し，SE逆効果が生じる条件を特定することを目的とする．</w:t>
      </w:r>
    </w:p>
    <w:p>
      <w:pPr>
        <w:pStyle w:val="Heading1"/>
        <w:jc w:val="left"/>
      </w:pPr>
      <w:r>
        <w:t>2. 実験設計</w:t>
      </w:r>
    </w:p>
    <w:p>
      <w:pPr>
        <w:pStyle w:val="Heading2"/>
        <w:jc w:val="left"/>
      </w:pPr>
      <w:r>
        <w:t>2.1 データセット</w:t>
      </w:r>
    </w:p>
    <w:p>
      <w:pPr>
        <w:spacing w:before="0" w:after="80"/>
        <w:ind w:firstLine="283"/>
        <w:jc w:val="both"/>
      </w:pPr>
      <w:r>
        <w:rPr>
          <w:sz w:val="20"/>
        </w:rPr>
        <w:t>TAPSデータセット [4] のテストセットから50発話を使用した．各発話に対して喉マイク収録音声と気導マイク収録音声のペアが存在し，韓国語の正解テキスト（metadata.csv）が付属する．話者は1名（p00），サンプリングレートは16 kHz である．</w:t>
      </w:r>
    </w:p>
    <w:p>
      <w:pPr>
        <w:pStyle w:val="Heading2"/>
        <w:jc w:val="left"/>
      </w:pPr>
      <w:r>
        <w:t>2.2 ノイズ付加</w:t>
      </w:r>
    </w:p>
    <w:p>
      <w:pPr>
        <w:spacing w:before="0" w:after="80"/>
        <w:ind w:firstLine="283"/>
        <w:jc w:val="both"/>
      </w:pPr>
      <w:r>
        <w:rPr>
          <w:sz w:val="20"/>
        </w:rPr>
        <w:t>喉マイク音声に対し，白色ノイズおよびピンクノイズをSNR −5, 0, +5, +10, +20 dBで混合し，計10条件のノイズ付き音声を生成した．ノイズはターゲット音声のRMSを基準に振幅を調整した．</w:t>
      </w:r>
    </w:p>
    <w:p>
      <w:pPr>
        <w:pStyle w:val="Heading2"/>
        <w:jc w:val="left"/>
      </w:pPr>
      <w:r>
        <w:t>2.3 音声強調モデル</w:t>
      </w:r>
    </w:p>
    <w:p>
      <w:pPr>
        <w:spacing w:before="0" w:after="80"/>
        <w:ind w:firstLine="283"/>
        <w:jc w:val="both"/>
      </w:pPr>
      <w:r>
        <w:rPr>
          <w:sz w:val="20"/>
        </w:rPr>
        <w:t>【DSP-only】Butterworth 6次ハイパスフィルタ（カットオフ300 Hz）+プリエンファシス（係数0.97）+RMS正規化の組み合わせ．</w:t>
      </w:r>
    </w:p>
    <w:p>
      <w:pPr>
        <w:spacing w:before="0" w:after="80"/>
        <w:ind w:firstLine="283"/>
        <w:jc w:val="both"/>
      </w:pPr>
      <w:r>
        <w:rPr>
          <w:sz w:val="20"/>
        </w:rPr>
        <w:t>【GTCRN】48.2Kパラメータの超軽量ニューラルSEモデル [3]．DNS3コーパス（気導マイク，主に英語）で学習済み．STFT（窓長512，シフト256，Hann窓）を用いた複素領域処理．</w:t>
      </w:r>
    </w:p>
    <w:p>
      <w:pPr>
        <w:pStyle w:val="Heading2"/>
        <w:jc w:val="left"/>
      </w:pPr>
      <w:r>
        <w:t>2.4 評価指標</w:t>
      </w:r>
    </w:p>
    <w:p>
      <w:pPr>
        <w:spacing w:before="0" w:after="80"/>
        <w:ind w:firstLine="283"/>
        <w:jc w:val="both"/>
      </w:pPr>
      <w:r>
        <w:rPr>
          <w:sz w:val="20"/>
        </w:rPr>
        <w:t>CER：faster-whisper smallモデルでtranscribeし，jiwer ライブラリで算出（言語指定：ko）．STOI：クリーン喉マイク音声を参照としてpystoiで算出（値域0〜1，高いほど良好）．</w:t>
      </w:r>
    </w:p>
    <w:p>
      <w:pPr>
        <w:pStyle w:val="Heading1"/>
        <w:jc w:val="left"/>
      </w:pPr>
      <w:r>
        <w:t>3. 実験結果</w:t>
      </w:r>
    </w:p>
    <w:p>
      <w:pPr>
        <w:pStyle w:val="Heading2"/>
        <w:jc w:val="left"/>
      </w:pPr>
      <w:r>
        <w:t>3.1 クリーン条件</w:t>
      </w:r>
    </w:p>
    <w:p>
      <w:pPr>
        <w:spacing w:before="0" w:after="80"/>
        <w:ind w:firstLine="283"/>
        <w:jc w:val="both"/>
      </w:pPr>
      <w:r>
        <w:rPr>
          <w:sz w:val="20"/>
        </w:rPr>
        <w:t>図1にクリーン条件のCER比較を示す．気導マイクベースライン（CER=0.131）に対し，喉マイク生音声は0.269と大幅に悪化する．DSP適用（0.416）はさらに悪化するが，GTCRN（0.296）は喉マイク生音声に近い性能を維持した．</w:t>
      </w:r>
    </w:p>
    <w:p>
      <w:pPr>
        <w:jc w:val="center"/>
      </w:pPr>
      <w:r>
        <w:drawing>
          <wp:inline xmlns:a="http://schemas.openxmlformats.org/drawingml/2006/main" xmlns:pic="http://schemas.openxmlformats.org/drawingml/2006/picture">
            <wp:extent cx="3960000" cy="251613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960000" cy="2516139"/>
                    </a:xfrm>
                    <a:prstGeom prst="rect"/>
                  </pic:spPr>
                </pic:pic>
              </a:graphicData>
            </a:graphic>
          </wp:inline>
        </w:drawing>
      </w:r>
    </w:p>
    <w:p>
      <w:pPr>
        <w:spacing w:before="40" w:after="160"/>
        <w:jc w:val="center"/>
      </w:pPr>
      <w:r>
        <w:rPr>
          <w:b/>
          <w:sz w:val="18"/>
        </w:rPr>
        <w:t>図1　クリーン条件における各手法のCER比較</w:t>
      </w:r>
    </w:p>
    <w:p>
      <w:pPr>
        <w:pStyle w:val="Heading2"/>
        <w:jc w:val="left"/>
      </w:pPr>
      <w:r>
        <w:t>3.2 ノイズ条件</w:t>
      </w:r>
    </w:p>
    <w:p>
      <w:pPr>
        <w:spacing w:before="0" w:after="80"/>
        <w:ind w:firstLine="283"/>
        <w:jc w:val="both"/>
      </w:pPr>
      <w:r>
        <w:rPr>
          <w:sz w:val="20"/>
        </w:rPr>
        <w:t>図2・図3に白色・ピンクノイズ下でのSNRとCERの関係を示す．全SEモデルが全SNR条件でNo SEより高いCERを示した．GTCRNはSNR +20 dBでは No SE に近い値（white: 0.378 vs 0.330）だが，SNRが低下するほど乖離が拡大し，SNR 0 dBでは1.214（No SE: 0.882）に達した．</w:t>
      </w:r>
    </w:p>
    <w:p>
      <w:pPr>
        <w:jc w:val="center"/>
      </w:pPr>
      <w:r>
        <w:drawing>
          <wp:inline xmlns:a="http://schemas.openxmlformats.org/drawingml/2006/main" xmlns:pic="http://schemas.openxmlformats.org/drawingml/2006/picture">
            <wp:extent cx="3960000" cy="251613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960000" cy="2516139"/>
                    </a:xfrm>
                    <a:prstGeom prst="rect"/>
                  </pic:spPr>
                </pic:pic>
              </a:graphicData>
            </a:graphic>
          </wp:inline>
        </w:drawing>
      </w:r>
    </w:p>
    <w:p>
      <w:pPr>
        <w:spacing w:before="40" w:after="160"/>
        <w:jc w:val="center"/>
      </w:pPr>
      <w:r>
        <w:rPr>
          <w:b/>
          <w:sz w:val="18"/>
        </w:rPr>
        <w:t>図2　SNR対CER（白色ノイズ）</w:t>
      </w:r>
    </w:p>
    <w:p>
      <w:pPr>
        <w:jc w:val="center"/>
      </w:pPr>
      <w:r>
        <w:drawing>
          <wp:inline xmlns:a="http://schemas.openxmlformats.org/drawingml/2006/main" xmlns:pic="http://schemas.openxmlformats.org/drawingml/2006/picture">
            <wp:extent cx="3960000" cy="251613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60000" cy="2516139"/>
                    </a:xfrm>
                    <a:prstGeom prst="rect"/>
                  </pic:spPr>
                </pic:pic>
              </a:graphicData>
            </a:graphic>
          </wp:inline>
        </w:drawing>
      </w:r>
    </w:p>
    <w:p>
      <w:pPr>
        <w:spacing w:before="40" w:after="160"/>
        <w:jc w:val="center"/>
      </w:pPr>
      <w:r>
        <w:rPr>
          <w:b/>
          <w:sz w:val="18"/>
        </w:rPr>
        <w:t>図3　SNR対CER（ピンクノイズ）</w:t>
      </w:r>
    </w:p>
    <w:p>
      <w:pPr>
        <w:pStyle w:val="Heading2"/>
        <w:jc w:val="left"/>
      </w:pPr>
      <w:r>
        <w:t>3.3 STOIとCERの乖離</w:t>
      </w:r>
    </w:p>
    <w:p>
      <w:pPr>
        <w:spacing w:before="0" w:after="80"/>
        <w:ind w:firstLine="283"/>
        <w:jc w:val="both"/>
      </w:pPr>
      <w:r>
        <w:rPr>
          <w:sz w:val="20"/>
        </w:rPr>
        <w:t>図4に全ノイズ条件のSTOI対CER散布図を示す．GTCRNの点群はNo SEと比較してSTOI軸方向（右）に移動しながらCER軸方向（上）にも移動するという逆説的パターンを示した．例えば白色ノイズSNR 0 dBでは，STOI：0.585→0.721（+0.136），CER：0.882→1.214（+0.332）となった．一方DSP-onlyはSTOI・CERともにNo SEより悪化した．</w:t>
      </w:r>
    </w:p>
    <w:p>
      <w:pPr>
        <w:jc w:val="center"/>
      </w:pPr>
      <w:r>
        <w:drawing>
          <wp:inline xmlns:a="http://schemas.openxmlformats.org/drawingml/2006/main" xmlns:pic="http://schemas.openxmlformats.org/drawingml/2006/picture">
            <wp:extent cx="3960000" cy="315844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960000" cy="3158445"/>
                    </a:xfrm>
                    <a:prstGeom prst="rect"/>
                  </pic:spPr>
                </pic:pic>
              </a:graphicData>
            </a:graphic>
          </wp:inline>
        </w:drawing>
      </w:r>
    </w:p>
    <w:p>
      <w:pPr>
        <w:spacing w:before="40" w:after="160"/>
        <w:jc w:val="center"/>
      </w:pPr>
      <w:r>
        <w:rPr>
          <w:b/>
          <w:sz w:val="18"/>
        </w:rPr>
        <w:t>図4　STOI対CER散布図．GTCRNはSTOI改善・CER悪化の乖離を示す</w:t>
      </w:r>
    </w:p>
    <w:p>
      <w:pPr>
        <w:pStyle w:val="Heading1"/>
        <w:jc w:val="left"/>
      </w:pPr>
      <w:r>
        <w:t>4. 考察</w:t>
      </w:r>
    </w:p>
    <w:p>
      <w:pPr>
        <w:pStyle w:val="Heading2"/>
        <w:jc w:val="left"/>
      </w:pPr>
      <w:r>
        <w:t>4.1 アーティファクト誤差仮説</w:t>
      </w:r>
    </w:p>
    <w:p>
      <w:pPr>
        <w:spacing w:before="0" w:after="80"/>
        <w:ind w:firstLine="283"/>
        <w:jc w:val="both"/>
      </w:pPr>
      <w:r>
        <w:rPr>
          <w:sz w:val="20"/>
        </w:rPr>
        <w:t>Ochiaiら [2] はSEによる誤差をアーティファクト・干渉・ノイズの3成分に分解し，アーティファクト誤差がASRに最も有害であることを示した．本実験でGTCRNがSTOIを改善しながらCERを悪化させる現象は，GTCRNが知覚的に自然な音声を生成しつつ，Whisperが学習した音響特徴と乖離したアーティファクトを導入していると解釈できる．</w:t>
      </w:r>
    </w:p>
    <w:p>
      <w:pPr>
        <w:pStyle w:val="Heading2"/>
        <w:jc w:val="left"/>
      </w:pPr>
      <w:r>
        <w:t>4.2 ドメインミスマッチの影響</w:t>
      </w:r>
    </w:p>
    <w:p>
      <w:pPr>
        <w:spacing w:before="0" w:after="80"/>
        <w:ind w:firstLine="283"/>
        <w:jc w:val="both"/>
      </w:pPr>
      <w:r>
        <w:rPr>
          <w:sz w:val="20"/>
        </w:rPr>
        <w:t>GTCRNはDNS3（気導マイク，主に英語）で学習されており，喉マイク音声は学習分布外である．低域偏重・高周波欠落という喉マイクの周波数特性は，GTCRNに「ノイズ」として誤認識される可能性がある．喉マイク専用学習済みSEモデルを用いた場合の効果検証が今後の課題である．</w:t>
      </w:r>
    </w:p>
    <w:p>
      <w:pPr>
        <w:pStyle w:val="Heading2"/>
        <w:jc w:val="left"/>
      </w:pPr>
      <w:r>
        <w:t>4.3 DSP-onlyの問題点</w:t>
      </w:r>
    </w:p>
    <w:p>
      <w:pPr>
        <w:spacing w:before="0" w:after="80"/>
        <w:ind w:firstLine="283"/>
        <w:jc w:val="both"/>
      </w:pPr>
      <w:r>
        <w:rPr>
          <w:sz w:val="20"/>
        </w:rPr>
        <w:t>300 HzハイパスフィルタはΔ喉マイクのエネルギーの大半（300 Hz以下）を除去するため，むしろ有害な前処理となっていると考えられる．カットオフ周波数のパラメータ感度分析が今後必要である．</w:t>
      </w:r>
    </w:p>
    <w:p>
      <w:pPr>
        <w:pStyle w:val="Heading1"/>
        <w:jc w:val="left"/>
      </w:pPr>
      <w:r>
        <w:t>5. おわりに</w:t>
      </w:r>
    </w:p>
    <w:p>
      <w:pPr>
        <w:spacing w:before="0" w:after="80"/>
        <w:ind w:firstLine="283"/>
        <w:jc w:val="both"/>
      </w:pPr>
      <w:r>
        <w:rPr>
          <w:sz w:val="20"/>
        </w:rPr>
        <w:t>本稿では喉マイク音声に対するSEの効果をCERとSTOIの両面から評価した．主要な知見は以下の通りである．</w:t>
      </w:r>
    </w:p>
    <w:p>
      <w:pPr>
        <w:spacing w:before="0" w:after="80"/>
        <w:ind w:firstLine="283"/>
        <w:jc w:val="both"/>
      </w:pPr>
      <w:r>
        <w:rPr>
          <w:sz w:val="20"/>
        </w:rPr>
        <w:t>（1）DSP-onlyおよびGTCRNは全ノイズ条件でCERを悪化させる．</w:t>
      </w:r>
    </w:p>
    <w:p>
      <w:pPr>
        <w:spacing w:before="0" w:after="80"/>
        <w:ind w:firstLine="283"/>
        <w:jc w:val="both"/>
      </w:pPr>
      <w:r>
        <w:rPr>
          <w:sz w:val="20"/>
        </w:rPr>
        <w:t>（2）GTCRNはSTOIを改善しながらCERを悪化させる知覚品質とASR性能の乖離を示す．</w:t>
      </w:r>
    </w:p>
    <w:p>
      <w:pPr>
        <w:spacing w:before="0" w:after="80"/>
        <w:ind w:firstLine="283"/>
        <w:jc w:val="both"/>
      </w:pPr>
      <w:r>
        <w:rPr>
          <w:sz w:val="20"/>
        </w:rPr>
        <w:t>（3）本現象は気導マイク学習済みSEモデルのドメイン外適用によるアーティファクト誤差によって説明される．</w:t>
      </w:r>
    </w:p>
    <w:p>
      <w:pPr>
        <w:spacing w:before="0" w:after="80"/>
        <w:ind w:firstLine="283"/>
        <w:jc w:val="both"/>
      </w:pPr>
      <w:r>
        <w:rPr>
          <w:sz w:val="20"/>
        </w:rPr>
        <w:t>今後は，Whisper large-v3による再評価，PESQ計測，DSPパラメータ感度分析，および実環境ノイズを用いた検証を行う予定である．</w:t>
      </w:r>
    </w:p>
    <w:p>
      <w:r>
        <w:br w:type="page"/>
      </w:r>
    </w:p>
    <w:p>
      <w:pPr>
        <w:pStyle w:val="Heading1"/>
        <w:jc w:val="left"/>
      </w:pPr>
      <w:r>
        <w:t>付表　全条件のCER・STOI計測結果</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685"/>
            <w:shd w:val="clear" w:color="auto" w:fill="1a237e"/>
          </w:tcPr>
          <w:p>
            <w:pPr>
              <w:jc w:val="center"/>
            </w:pPr>
            <w:r>
              <w:rPr>
                <w:b/>
                <w:color w:val="FFFFFF"/>
                <w:sz w:val="16"/>
              </w:rPr>
              <w:t>条件</w:t>
            </w:r>
          </w:p>
        </w:tc>
        <w:tc>
          <w:tcPr>
            <w:tcW w:type="dxa" w:w="1020"/>
            <w:shd w:val="clear" w:color="auto" w:fill="1a237e"/>
          </w:tcPr>
          <w:p>
            <w:pPr>
              <w:jc w:val="center"/>
            </w:pPr>
            <w:r>
              <w:rPr>
                <w:b/>
                <w:color w:val="FFFFFF"/>
                <w:sz w:val="16"/>
              </w:rPr>
              <w:t>ノイズ</w:t>
            </w:r>
          </w:p>
        </w:tc>
        <w:tc>
          <w:tcPr>
            <w:tcW w:type="dxa" w:w="850"/>
            <w:shd w:val="clear" w:color="auto" w:fill="1a237e"/>
          </w:tcPr>
          <w:p>
            <w:pPr>
              <w:jc w:val="center"/>
            </w:pPr>
            <w:r>
              <w:rPr>
                <w:b/>
                <w:color w:val="FFFFFF"/>
                <w:sz w:val="16"/>
              </w:rPr>
              <w:t>SNR</w:t>
            </w:r>
          </w:p>
        </w:tc>
        <w:tc>
          <w:tcPr>
            <w:tcW w:type="dxa" w:w="1020"/>
            <w:shd w:val="clear" w:color="auto" w:fill="1a237e"/>
          </w:tcPr>
          <w:p>
            <w:pPr>
              <w:jc w:val="center"/>
            </w:pPr>
            <w:r>
              <w:rPr>
                <w:b/>
                <w:color w:val="FFFFFF"/>
                <w:sz w:val="16"/>
              </w:rPr>
              <w:t>CER↓</w:t>
            </w:r>
          </w:p>
        </w:tc>
        <w:tc>
          <w:tcPr>
            <w:tcW w:type="dxa" w:w="1020"/>
            <w:shd w:val="clear" w:color="auto" w:fill="1a237e"/>
          </w:tcPr>
          <w:p>
            <w:pPr>
              <w:jc w:val="center"/>
            </w:pPr>
            <w:r>
              <w:rPr>
                <w:b/>
                <w:color w:val="FFFFFF"/>
                <w:sz w:val="16"/>
              </w:rPr>
              <w:t>STOI↑</w:t>
            </w:r>
          </w:p>
        </w:tc>
      </w:tr>
      <w:tr>
        <w:tc>
          <w:tcPr>
            <w:tcW w:type="dxa" w:w="3685"/>
          </w:tcPr>
          <w:p>
            <w:pPr>
              <w:jc w:val="left"/>
            </w:pPr>
            <w:r>
              <w:rPr>
                <w:sz w:val="15"/>
              </w:rPr>
              <w:t>baseline_acoustic</w:t>
            </w:r>
          </w:p>
        </w:tc>
        <w:tc>
          <w:tcPr>
            <w:tcW w:type="dxa" w:w="1020"/>
          </w:tcPr>
          <w:p>
            <w:pPr>
              <w:jc w:val="center"/>
            </w:pPr>
            <w:r>
              <w:rPr>
                <w:sz w:val="15"/>
              </w:rPr>
              <w:t>—</w:t>
            </w:r>
          </w:p>
        </w:tc>
        <w:tc>
          <w:tcPr>
            <w:tcW w:type="dxa" w:w="850"/>
          </w:tcPr>
          <w:p>
            <w:pPr>
              <w:jc w:val="center"/>
            </w:pPr>
            <w:r>
              <w:rPr>
                <w:sz w:val="15"/>
              </w:rPr>
              <w:t>clean</w:t>
            </w:r>
          </w:p>
        </w:tc>
        <w:tc>
          <w:tcPr>
            <w:tcW w:type="dxa" w:w="1020"/>
            <w:shd w:val="clear" w:color="auto" w:fill="c8e6c9"/>
          </w:tcPr>
          <w:p>
            <w:pPr>
              <w:jc w:val="center"/>
            </w:pPr>
            <w:r>
              <w:rPr>
                <w:sz w:val="15"/>
              </w:rPr>
              <w:t>0.131</w:t>
            </w:r>
          </w:p>
        </w:tc>
        <w:tc>
          <w:tcPr>
            <w:tcW w:type="dxa" w:w="1020"/>
          </w:tcPr>
          <w:p>
            <w:pPr>
              <w:jc w:val="center"/>
            </w:pPr>
            <w:r>
              <w:rPr>
                <w:sz w:val="15"/>
              </w:rPr>
              <w:t>-</w:t>
            </w:r>
          </w:p>
        </w:tc>
      </w:tr>
      <w:tr>
        <w:tc>
          <w:tcPr>
            <w:tcW w:type="dxa" w:w="3685"/>
          </w:tcPr>
          <w:p>
            <w:pPr>
              <w:jc w:val="left"/>
            </w:pPr>
            <w:r>
              <w:rPr>
                <w:sz w:val="15"/>
              </w:rPr>
              <w:t>baseline_throat</w:t>
            </w:r>
          </w:p>
        </w:tc>
        <w:tc>
          <w:tcPr>
            <w:tcW w:type="dxa" w:w="1020"/>
          </w:tcPr>
          <w:p>
            <w:pPr>
              <w:jc w:val="center"/>
            </w:pPr>
            <w:r>
              <w:rPr>
                <w:sz w:val="15"/>
              </w:rPr>
              <w:t>—</w:t>
            </w:r>
          </w:p>
        </w:tc>
        <w:tc>
          <w:tcPr>
            <w:tcW w:type="dxa" w:w="850"/>
          </w:tcPr>
          <w:p>
            <w:pPr>
              <w:jc w:val="center"/>
            </w:pPr>
            <w:r>
              <w:rPr>
                <w:sz w:val="15"/>
              </w:rPr>
              <w:t>clean</w:t>
            </w:r>
          </w:p>
        </w:tc>
        <w:tc>
          <w:tcPr>
            <w:tcW w:type="dxa" w:w="1020"/>
            <w:shd w:val="clear" w:color="auto" w:fill="c8e6c9"/>
          </w:tcPr>
          <w:p>
            <w:pPr>
              <w:jc w:val="center"/>
            </w:pPr>
            <w:r>
              <w:rPr>
                <w:sz w:val="15"/>
              </w:rPr>
              <w:t>0.269</w:t>
            </w:r>
          </w:p>
        </w:tc>
        <w:tc>
          <w:tcPr>
            <w:tcW w:type="dxa" w:w="1020"/>
          </w:tcPr>
          <w:p>
            <w:pPr>
              <w:jc w:val="center"/>
            </w:pPr>
            <w:r>
              <w:rPr>
                <w:sz w:val="15"/>
              </w:rPr>
              <w:t>-</w:t>
            </w:r>
          </w:p>
        </w:tc>
      </w:tr>
      <w:tr>
        <w:tc>
          <w:tcPr>
            <w:tcW w:type="dxa" w:w="3685"/>
          </w:tcPr>
          <w:p>
            <w:pPr>
              <w:jc w:val="left"/>
            </w:pPr>
            <w:r>
              <w:rPr>
                <w:sz w:val="15"/>
              </w:rPr>
              <w:t>dsp_only/clean</w:t>
            </w:r>
          </w:p>
        </w:tc>
        <w:tc>
          <w:tcPr>
            <w:tcW w:type="dxa" w:w="1020"/>
          </w:tcPr>
          <w:p>
            <w:pPr>
              <w:jc w:val="center"/>
            </w:pPr>
            <w:r>
              <w:rPr>
                <w:sz w:val="15"/>
              </w:rPr>
              <w:t>—</w:t>
            </w:r>
          </w:p>
        </w:tc>
        <w:tc>
          <w:tcPr>
            <w:tcW w:type="dxa" w:w="850"/>
          </w:tcPr>
          <w:p>
            <w:pPr>
              <w:jc w:val="center"/>
            </w:pPr>
            <w:r>
              <w:rPr>
                <w:sz w:val="15"/>
              </w:rPr>
              <w:t>clean</w:t>
            </w:r>
          </w:p>
        </w:tc>
        <w:tc>
          <w:tcPr>
            <w:tcW w:type="dxa" w:w="1020"/>
            <w:shd w:val="clear" w:color="auto" w:fill="fff9c4"/>
          </w:tcPr>
          <w:p>
            <w:pPr>
              <w:jc w:val="center"/>
            </w:pPr>
            <w:r>
              <w:rPr>
                <w:sz w:val="15"/>
              </w:rPr>
              <w:t>0.416</w:t>
            </w:r>
          </w:p>
        </w:tc>
        <w:tc>
          <w:tcPr>
            <w:tcW w:type="dxa" w:w="1020"/>
          </w:tcPr>
          <w:p>
            <w:pPr>
              <w:jc w:val="center"/>
            </w:pPr>
            <w:r>
              <w:rPr>
                <w:sz w:val="15"/>
              </w:rPr>
              <w:t>0.847</w:t>
            </w:r>
          </w:p>
        </w:tc>
      </w:tr>
      <w:tr>
        <w:tc>
          <w:tcPr>
            <w:tcW w:type="dxa" w:w="3685"/>
          </w:tcPr>
          <w:p>
            <w:pPr>
              <w:jc w:val="left"/>
            </w:pPr>
            <w:r>
              <w:rPr>
                <w:sz w:val="15"/>
              </w:rPr>
              <w:t>gtcrn/clean</w:t>
            </w:r>
          </w:p>
        </w:tc>
        <w:tc>
          <w:tcPr>
            <w:tcW w:type="dxa" w:w="1020"/>
          </w:tcPr>
          <w:p>
            <w:pPr>
              <w:jc w:val="center"/>
            </w:pPr>
            <w:r>
              <w:rPr>
                <w:sz w:val="15"/>
              </w:rPr>
              <w:t>—</w:t>
            </w:r>
          </w:p>
        </w:tc>
        <w:tc>
          <w:tcPr>
            <w:tcW w:type="dxa" w:w="850"/>
          </w:tcPr>
          <w:p>
            <w:pPr>
              <w:jc w:val="center"/>
            </w:pPr>
            <w:r>
              <w:rPr>
                <w:sz w:val="15"/>
              </w:rPr>
              <w:t>clean</w:t>
            </w:r>
          </w:p>
        </w:tc>
        <w:tc>
          <w:tcPr>
            <w:tcW w:type="dxa" w:w="1020"/>
            <w:shd w:val="clear" w:color="auto" w:fill="c8e6c9"/>
          </w:tcPr>
          <w:p>
            <w:pPr>
              <w:jc w:val="center"/>
            </w:pPr>
            <w:r>
              <w:rPr>
                <w:sz w:val="15"/>
              </w:rPr>
              <w:t>0.296</w:t>
            </w:r>
          </w:p>
        </w:tc>
        <w:tc>
          <w:tcPr>
            <w:tcW w:type="dxa" w:w="1020"/>
          </w:tcPr>
          <w:p>
            <w:pPr>
              <w:jc w:val="center"/>
            </w:pPr>
            <w:r>
              <w:rPr>
                <w:sz w:val="15"/>
              </w:rPr>
              <w:t>0.990</w:t>
            </w:r>
          </w:p>
        </w:tc>
      </w:tr>
      <w:tr>
        <w:tc>
          <w:tcPr>
            <w:tcW w:type="dxa" w:w="3685"/>
          </w:tcPr>
          <w:p>
            <w:pPr>
              <w:jc w:val="left"/>
            </w:pPr>
            <w:r>
              <w:rPr>
                <w:sz w:val="15"/>
              </w:rPr>
              <w:t>no_se/white/snr_-5dB</w:t>
            </w:r>
          </w:p>
        </w:tc>
        <w:tc>
          <w:tcPr>
            <w:tcW w:type="dxa" w:w="1020"/>
          </w:tcPr>
          <w:p>
            <w:pPr>
              <w:jc w:val="center"/>
            </w:pPr>
            <w:r>
              <w:rPr>
                <w:sz w:val="15"/>
              </w:rPr>
              <w:t>white</w:t>
            </w:r>
          </w:p>
        </w:tc>
        <w:tc>
          <w:tcPr>
            <w:tcW w:type="dxa" w:w="850"/>
          </w:tcPr>
          <w:p>
            <w:pPr>
              <w:jc w:val="center"/>
            </w:pPr>
            <w:r>
              <w:rPr>
                <w:sz w:val="15"/>
              </w:rPr>
              <w:t>-5</w:t>
            </w:r>
          </w:p>
        </w:tc>
        <w:tc>
          <w:tcPr>
            <w:tcW w:type="dxa" w:w="1020"/>
            <w:shd w:val="clear" w:color="auto" w:fill="ffcdd2"/>
          </w:tcPr>
          <w:p>
            <w:pPr>
              <w:jc w:val="center"/>
            </w:pPr>
            <w:r>
              <w:rPr>
                <w:sz w:val="15"/>
              </w:rPr>
              <w:t>0.977</w:t>
            </w:r>
          </w:p>
        </w:tc>
        <w:tc>
          <w:tcPr>
            <w:tcW w:type="dxa" w:w="1020"/>
          </w:tcPr>
          <w:p>
            <w:pPr>
              <w:jc w:val="center"/>
            </w:pPr>
            <w:r>
              <w:rPr>
                <w:sz w:val="15"/>
              </w:rPr>
              <w:t>0.526</w:t>
            </w:r>
          </w:p>
        </w:tc>
      </w:tr>
      <w:tr>
        <w:tc>
          <w:tcPr>
            <w:tcW w:type="dxa" w:w="3685"/>
          </w:tcPr>
          <w:p>
            <w:pPr>
              <w:jc w:val="left"/>
            </w:pPr>
            <w:r>
              <w:rPr>
                <w:sz w:val="15"/>
              </w:rPr>
              <w:t>no_se/white/snr_+0dB</w:t>
            </w:r>
          </w:p>
        </w:tc>
        <w:tc>
          <w:tcPr>
            <w:tcW w:type="dxa" w:w="1020"/>
          </w:tcPr>
          <w:p>
            <w:pPr>
              <w:jc w:val="center"/>
            </w:pPr>
            <w:r>
              <w:rPr>
                <w:sz w:val="15"/>
              </w:rPr>
              <w:t>white</w:t>
            </w:r>
          </w:p>
        </w:tc>
        <w:tc>
          <w:tcPr>
            <w:tcW w:type="dxa" w:w="850"/>
          </w:tcPr>
          <w:p>
            <w:pPr>
              <w:jc w:val="center"/>
            </w:pPr>
            <w:r>
              <w:rPr>
                <w:sz w:val="15"/>
              </w:rPr>
              <w:t>+0</w:t>
            </w:r>
          </w:p>
        </w:tc>
        <w:tc>
          <w:tcPr>
            <w:tcW w:type="dxa" w:w="1020"/>
            <w:shd w:val="clear" w:color="auto" w:fill="ffcdd2"/>
          </w:tcPr>
          <w:p>
            <w:pPr>
              <w:jc w:val="center"/>
            </w:pPr>
            <w:r>
              <w:rPr>
                <w:sz w:val="15"/>
              </w:rPr>
              <w:t>0.882</w:t>
            </w:r>
          </w:p>
        </w:tc>
        <w:tc>
          <w:tcPr>
            <w:tcW w:type="dxa" w:w="1020"/>
          </w:tcPr>
          <w:p>
            <w:pPr>
              <w:jc w:val="center"/>
            </w:pPr>
            <w:r>
              <w:rPr>
                <w:sz w:val="15"/>
              </w:rPr>
              <w:t>0.585</w:t>
            </w:r>
          </w:p>
        </w:tc>
      </w:tr>
      <w:tr>
        <w:tc>
          <w:tcPr>
            <w:tcW w:type="dxa" w:w="3685"/>
          </w:tcPr>
          <w:p>
            <w:pPr>
              <w:jc w:val="left"/>
            </w:pPr>
            <w:r>
              <w:rPr>
                <w:sz w:val="15"/>
              </w:rPr>
              <w:t>no_se/white/snr_+5dB</w:t>
            </w:r>
          </w:p>
        </w:tc>
        <w:tc>
          <w:tcPr>
            <w:tcW w:type="dxa" w:w="1020"/>
          </w:tcPr>
          <w:p>
            <w:pPr>
              <w:jc w:val="center"/>
            </w:pPr>
            <w:r>
              <w:rPr>
                <w:sz w:val="15"/>
              </w:rPr>
              <w:t>white</w:t>
            </w:r>
          </w:p>
        </w:tc>
        <w:tc>
          <w:tcPr>
            <w:tcW w:type="dxa" w:w="850"/>
          </w:tcPr>
          <w:p>
            <w:pPr>
              <w:jc w:val="center"/>
            </w:pPr>
            <w:r>
              <w:rPr>
                <w:sz w:val="15"/>
              </w:rPr>
              <w:t>+5</w:t>
            </w:r>
          </w:p>
        </w:tc>
        <w:tc>
          <w:tcPr>
            <w:tcW w:type="dxa" w:w="1020"/>
            <w:shd w:val="clear" w:color="auto" w:fill="ffe0b2"/>
          </w:tcPr>
          <w:p>
            <w:pPr>
              <w:jc w:val="center"/>
            </w:pPr>
            <w:r>
              <w:rPr>
                <w:sz w:val="15"/>
              </w:rPr>
              <w:t>0.662</w:t>
            </w:r>
          </w:p>
        </w:tc>
        <w:tc>
          <w:tcPr>
            <w:tcW w:type="dxa" w:w="1020"/>
          </w:tcPr>
          <w:p>
            <w:pPr>
              <w:jc w:val="center"/>
            </w:pPr>
            <w:r>
              <w:rPr>
                <w:sz w:val="15"/>
              </w:rPr>
              <w:t>0.637</w:t>
            </w:r>
          </w:p>
        </w:tc>
      </w:tr>
      <w:tr>
        <w:tc>
          <w:tcPr>
            <w:tcW w:type="dxa" w:w="3685"/>
          </w:tcPr>
          <w:p>
            <w:pPr>
              <w:jc w:val="left"/>
            </w:pPr>
            <w:r>
              <w:rPr>
                <w:sz w:val="15"/>
              </w:rPr>
              <w:t>no_se/white/snr_+10dB</w:t>
            </w:r>
          </w:p>
        </w:tc>
        <w:tc>
          <w:tcPr>
            <w:tcW w:type="dxa" w:w="1020"/>
          </w:tcPr>
          <w:p>
            <w:pPr>
              <w:jc w:val="center"/>
            </w:pPr>
            <w:r>
              <w:rPr>
                <w:sz w:val="15"/>
              </w:rPr>
              <w:t>white</w:t>
            </w:r>
          </w:p>
        </w:tc>
        <w:tc>
          <w:tcPr>
            <w:tcW w:type="dxa" w:w="850"/>
          </w:tcPr>
          <w:p>
            <w:pPr>
              <w:jc w:val="center"/>
            </w:pPr>
            <w:r>
              <w:rPr>
                <w:sz w:val="15"/>
              </w:rPr>
              <w:t>+10</w:t>
            </w:r>
          </w:p>
        </w:tc>
        <w:tc>
          <w:tcPr>
            <w:tcW w:type="dxa" w:w="1020"/>
            <w:shd w:val="clear" w:color="auto" w:fill="ffe0b2"/>
          </w:tcPr>
          <w:p>
            <w:pPr>
              <w:jc w:val="center"/>
            </w:pPr>
            <w:r>
              <w:rPr>
                <w:sz w:val="15"/>
              </w:rPr>
              <w:t>0.512</w:t>
            </w:r>
          </w:p>
        </w:tc>
        <w:tc>
          <w:tcPr>
            <w:tcW w:type="dxa" w:w="1020"/>
          </w:tcPr>
          <w:p>
            <w:pPr>
              <w:jc w:val="center"/>
            </w:pPr>
            <w:r>
              <w:rPr>
                <w:sz w:val="15"/>
              </w:rPr>
              <w:t>0.696</w:t>
            </w:r>
          </w:p>
        </w:tc>
      </w:tr>
      <w:tr>
        <w:tc>
          <w:tcPr>
            <w:tcW w:type="dxa" w:w="3685"/>
          </w:tcPr>
          <w:p>
            <w:pPr>
              <w:jc w:val="left"/>
            </w:pPr>
            <w:r>
              <w:rPr>
                <w:sz w:val="15"/>
              </w:rPr>
              <w:t>no_se/white/snr_+20dB</w:t>
            </w:r>
          </w:p>
        </w:tc>
        <w:tc>
          <w:tcPr>
            <w:tcW w:type="dxa" w:w="1020"/>
          </w:tcPr>
          <w:p>
            <w:pPr>
              <w:jc w:val="center"/>
            </w:pPr>
            <w:r>
              <w:rPr>
                <w:sz w:val="15"/>
              </w:rPr>
              <w:t>white</w:t>
            </w:r>
          </w:p>
        </w:tc>
        <w:tc>
          <w:tcPr>
            <w:tcW w:type="dxa" w:w="850"/>
          </w:tcPr>
          <w:p>
            <w:pPr>
              <w:jc w:val="center"/>
            </w:pPr>
            <w:r>
              <w:rPr>
                <w:sz w:val="15"/>
              </w:rPr>
              <w:t>+20</w:t>
            </w:r>
          </w:p>
        </w:tc>
        <w:tc>
          <w:tcPr>
            <w:tcW w:type="dxa" w:w="1020"/>
            <w:shd w:val="clear" w:color="auto" w:fill="fff9c4"/>
          </w:tcPr>
          <w:p>
            <w:pPr>
              <w:jc w:val="center"/>
            </w:pPr>
            <w:r>
              <w:rPr>
                <w:sz w:val="15"/>
              </w:rPr>
              <w:t>0.330</w:t>
            </w:r>
          </w:p>
        </w:tc>
        <w:tc>
          <w:tcPr>
            <w:tcW w:type="dxa" w:w="1020"/>
          </w:tcPr>
          <w:p>
            <w:pPr>
              <w:jc w:val="center"/>
            </w:pPr>
            <w:r>
              <w:rPr>
                <w:sz w:val="15"/>
              </w:rPr>
              <w:t>0.854</w:t>
            </w:r>
          </w:p>
        </w:tc>
      </w:tr>
      <w:tr>
        <w:tc>
          <w:tcPr>
            <w:tcW w:type="dxa" w:w="3685"/>
          </w:tcPr>
          <w:p>
            <w:pPr>
              <w:jc w:val="left"/>
            </w:pPr>
            <w:r>
              <w:rPr>
                <w:sz w:val="15"/>
              </w:rPr>
              <w:t>no_se/pink/snr_-5dB</w:t>
            </w:r>
          </w:p>
        </w:tc>
        <w:tc>
          <w:tcPr>
            <w:tcW w:type="dxa" w:w="1020"/>
          </w:tcPr>
          <w:p>
            <w:pPr>
              <w:jc w:val="center"/>
            </w:pPr>
            <w:r>
              <w:rPr>
                <w:sz w:val="15"/>
              </w:rPr>
              <w:t>pink</w:t>
            </w:r>
          </w:p>
        </w:tc>
        <w:tc>
          <w:tcPr>
            <w:tcW w:type="dxa" w:w="850"/>
          </w:tcPr>
          <w:p>
            <w:pPr>
              <w:jc w:val="center"/>
            </w:pPr>
            <w:r>
              <w:rPr>
                <w:sz w:val="15"/>
              </w:rPr>
              <w:t>-5</w:t>
            </w:r>
          </w:p>
        </w:tc>
        <w:tc>
          <w:tcPr>
            <w:tcW w:type="dxa" w:w="1020"/>
            <w:shd w:val="clear" w:color="auto" w:fill="ffcdd2"/>
          </w:tcPr>
          <w:p>
            <w:pPr>
              <w:jc w:val="center"/>
            </w:pPr>
            <w:r>
              <w:rPr>
                <w:sz w:val="15"/>
              </w:rPr>
              <w:t>1.042</w:t>
            </w:r>
          </w:p>
        </w:tc>
        <w:tc>
          <w:tcPr>
            <w:tcW w:type="dxa" w:w="1020"/>
          </w:tcPr>
          <w:p>
            <w:pPr>
              <w:jc w:val="center"/>
            </w:pPr>
            <w:r>
              <w:rPr>
                <w:sz w:val="15"/>
              </w:rPr>
              <w:t>0.483</w:t>
            </w:r>
          </w:p>
        </w:tc>
      </w:tr>
      <w:tr>
        <w:tc>
          <w:tcPr>
            <w:tcW w:type="dxa" w:w="3685"/>
          </w:tcPr>
          <w:p>
            <w:pPr>
              <w:jc w:val="left"/>
            </w:pPr>
            <w:r>
              <w:rPr>
                <w:sz w:val="15"/>
              </w:rPr>
              <w:t>no_se/pink/snr_+0dB</w:t>
            </w:r>
          </w:p>
        </w:tc>
        <w:tc>
          <w:tcPr>
            <w:tcW w:type="dxa" w:w="1020"/>
          </w:tcPr>
          <w:p>
            <w:pPr>
              <w:jc w:val="center"/>
            </w:pPr>
            <w:r>
              <w:rPr>
                <w:sz w:val="15"/>
              </w:rPr>
              <w:t>pink</w:t>
            </w:r>
          </w:p>
        </w:tc>
        <w:tc>
          <w:tcPr>
            <w:tcW w:type="dxa" w:w="850"/>
          </w:tcPr>
          <w:p>
            <w:pPr>
              <w:jc w:val="center"/>
            </w:pPr>
            <w:r>
              <w:rPr>
                <w:sz w:val="15"/>
              </w:rPr>
              <w:t>+0</w:t>
            </w:r>
          </w:p>
        </w:tc>
        <w:tc>
          <w:tcPr>
            <w:tcW w:type="dxa" w:w="1020"/>
            <w:shd w:val="clear" w:color="auto" w:fill="ffcdd2"/>
          </w:tcPr>
          <w:p>
            <w:pPr>
              <w:jc w:val="center"/>
            </w:pPr>
            <w:r>
              <w:rPr>
                <w:sz w:val="15"/>
              </w:rPr>
              <w:t>0.862</w:t>
            </w:r>
          </w:p>
        </w:tc>
        <w:tc>
          <w:tcPr>
            <w:tcW w:type="dxa" w:w="1020"/>
          </w:tcPr>
          <w:p>
            <w:pPr>
              <w:jc w:val="center"/>
            </w:pPr>
            <w:r>
              <w:rPr>
                <w:sz w:val="15"/>
              </w:rPr>
              <w:t>0.577</w:t>
            </w:r>
          </w:p>
        </w:tc>
      </w:tr>
      <w:tr>
        <w:tc>
          <w:tcPr>
            <w:tcW w:type="dxa" w:w="3685"/>
          </w:tcPr>
          <w:p>
            <w:pPr>
              <w:jc w:val="left"/>
            </w:pPr>
            <w:r>
              <w:rPr>
                <w:sz w:val="15"/>
              </w:rPr>
              <w:t>no_se/pink/snr_+5dB</w:t>
            </w:r>
          </w:p>
        </w:tc>
        <w:tc>
          <w:tcPr>
            <w:tcW w:type="dxa" w:w="1020"/>
          </w:tcPr>
          <w:p>
            <w:pPr>
              <w:jc w:val="center"/>
            </w:pPr>
            <w:r>
              <w:rPr>
                <w:sz w:val="15"/>
              </w:rPr>
              <w:t>pink</w:t>
            </w:r>
          </w:p>
        </w:tc>
        <w:tc>
          <w:tcPr>
            <w:tcW w:type="dxa" w:w="850"/>
          </w:tcPr>
          <w:p>
            <w:pPr>
              <w:jc w:val="center"/>
            </w:pPr>
            <w:r>
              <w:rPr>
                <w:sz w:val="15"/>
              </w:rPr>
              <w:t>+5</w:t>
            </w:r>
          </w:p>
        </w:tc>
        <w:tc>
          <w:tcPr>
            <w:tcW w:type="dxa" w:w="1020"/>
            <w:shd w:val="clear" w:color="auto" w:fill="ffe0b2"/>
          </w:tcPr>
          <w:p>
            <w:pPr>
              <w:jc w:val="center"/>
            </w:pPr>
            <w:r>
              <w:rPr>
                <w:sz w:val="15"/>
              </w:rPr>
              <w:t>0.635</w:t>
            </w:r>
          </w:p>
        </w:tc>
        <w:tc>
          <w:tcPr>
            <w:tcW w:type="dxa" w:w="1020"/>
          </w:tcPr>
          <w:p>
            <w:pPr>
              <w:jc w:val="center"/>
            </w:pPr>
            <w:r>
              <w:rPr>
                <w:sz w:val="15"/>
              </w:rPr>
              <w:t>0.660</w:t>
            </w:r>
          </w:p>
        </w:tc>
      </w:tr>
      <w:tr>
        <w:tc>
          <w:tcPr>
            <w:tcW w:type="dxa" w:w="3685"/>
          </w:tcPr>
          <w:p>
            <w:pPr>
              <w:jc w:val="left"/>
            </w:pPr>
            <w:r>
              <w:rPr>
                <w:sz w:val="15"/>
              </w:rPr>
              <w:t>no_se/pink/snr_+10dB</w:t>
            </w:r>
          </w:p>
        </w:tc>
        <w:tc>
          <w:tcPr>
            <w:tcW w:type="dxa" w:w="1020"/>
          </w:tcPr>
          <w:p>
            <w:pPr>
              <w:jc w:val="center"/>
            </w:pPr>
            <w:r>
              <w:rPr>
                <w:sz w:val="15"/>
              </w:rPr>
              <w:t>pink</w:t>
            </w:r>
          </w:p>
        </w:tc>
        <w:tc>
          <w:tcPr>
            <w:tcW w:type="dxa" w:w="850"/>
          </w:tcPr>
          <w:p>
            <w:pPr>
              <w:jc w:val="center"/>
            </w:pPr>
            <w:r>
              <w:rPr>
                <w:sz w:val="15"/>
              </w:rPr>
              <w:t>+10</w:t>
            </w:r>
          </w:p>
        </w:tc>
        <w:tc>
          <w:tcPr>
            <w:tcW w:type="dxa" w:w="1020"/>
            <w:shd w:val="clear" w:color="auto" w:fill="fff9c4"/>
          </w:tcPr>
          <w:p>
            <w:pPr>
              <w:jc w:val="center"/>
            </w:pPr>
            <w:r>
              <w:rPr>
                <w:sz w:val="15"/>
              </w:rPr>
              <w:t>0.463</w:t>
            </w:r>
          </w:p>
        </w:tc>
        <w:tc>
          <w:tcPr>
            <w:tcW w:type="dxa" w:w="1020"/>
          </w:tcPr>
          <w:p>
            <w:pPr>
              <w:jc w:val="center"/>
            </w:pPr>
            <w:r>
              <w:rPr>
                <w:sz w:val="15"/>
              </w:rPr>
              <w:t>0.753</w:t>
            </w:r>
          </w:p>
        </w:tc>
      </w:tr>
      <w:tr>
        <w:tc>
          <w:tcPr>
            <w:tcW w:type="dxa" w:w="3685"/>
          </w:tcPr>
          <w:p>
            <w:pPr>
              <w:jc w:val="left"/>
            </w:pPr>
            <w:r>
              <w:rPr>
                <w:sz w:val="15"/>
              </w:rPr>
              <w:t>no_se/pink/snr_+20dB</w:t>
            </w:r>
          </w:p>
        </w:tc>
        <w:tc>
          <w:tcPr>
            <w:tcW w:type="dxa" w:w="1020"/>
          </w:tcPr>
          <w:p>
            <w:pPr>
              <w:jc w:val="center"/>
            </w:pPr>
            <w:r>
              <w:rPr>
                <w:sz w:val="15"/>
              </w:rPr>
              <w:t>pink</w:t>
            </w:r>
          </w:p>
        </w:tc>
        <w:tc>
          <w:tcPr>
            <w:tcW w:type="dxa" w:w="850"/>
          </w:tcPr>
          <w:p>
            <w:pPr>
              <w:jc w:val="center"/>
            </w:pPr>
            <w:r>
              <w:rPr>
                <w:sz w:val="15"/>
              </w:rPr>
              <w:t>+20</w:t>
            </w:r>
          </w:p>
        </w:tc>
        <w:tc>
          <w:tcPr>
            <w:tcW w:type="dxa" w:w="1020"/>
            <w:shd w:val="clear" w:color="auto" w:fill="fff9c4"/>
          </w:tcPr>
          <w:p>
            <w:pPr>
              <w:jc w:val="center"/>
            </w:pPr>
            <w:r>
              <w:rPr>
                <w:sz w:val="15"/>
              </w:rPr>
              <w:t>0.305</w:t>
            </w:r>
          </w:p>
        </w:tc>
        <w:tc>
          <w:tcPr>
            <w:tcW w:type="dxa" w:w="1020"/>
          </w:tcPr>
          <w:p>
            <w:pPr>
              <w:jc w:val="center"/>
            </w:pPr>
            <w:r>
              <w:rPr>
                <w:sz w:val="15"/>
              </w:rPr>
              <w:t>0.936</w:t>
            </w:r>
          </w:p>
        </w:tc>
      </w:tr>
      <w:tr>
        <w:tc>
          <w:tcPr>
            <w:tcW w:type="dxa" w:w="3685"/>
          </w:tcPr>
          <w:p>
            <w:pPr>
              <w:jc w:val="left"/>
            </w:pPr>
            <w:r>
              <w:rPr>
                <w:sz w:val="15"/>
              </w:rPr>
              <w:t>dsp_only/white/snr_-5dB</w:t>
            </w:r>
          </w:p>
        </w:tc>
        <w:tc>
          <w:tcPr>
            <w:tcW w:type="dxa" w:w="1020"/>
          </w:tcPr>
          <w:p>
            <w:pPr>
              <w:jc w:val="center"/>
            </w:pPr>
            <w:r>
              <w:rPr>
                <w:sz w:val="15"/>
              </w:rPr>
              <w:t>white</w:t>
            </w:r>
          </w:p>
        </w:tc>
        <w:tc>
          <w:tcPr>
            <w:tcW w:type="dxa" w:w="850"/>
          </w:tcPr>
          <w:p>
            <w:pPr>
              <w:jc w:val="center"/>
            </w:pPr>
            <w:r>
              <w:rPr>
                <w:sz w:val="15"/>
              </w:rPr>
              <w:t>-5</w:t>
            </w:r>
          </w:p>
        </w:tc>
        <w:tc>
          <w:tcPr>
            <w:tcW w:type="dxa" w:w="1020"/>
            <w:shd w:val="clear" w:color="auto" w:fill="ffcdd2"/>
          </w:tcPr>
          <w:p>
            <w:pPr>
              <w:jc w:val="center"/>
            </w:pPr>
            <w:r>
              <w:rPr>
                <w:sz w:val="15"/>
              </w:rPr>
              <w:t>0.998</w:t>
            </w:r>
          </w:p>
        </w:tc>
        <w:tc>
          <w:tcPr>
            <w:tcW w:type="dxa" w:w="1020"/>
          </w:tcPr>
          <w:p>
            <w:pPr>
              <w:jc w:val="center"/>
            </w:pPr>
            <w:r>
              <w:rPr>
                <w:sz w:val="15"/>
              </w:rPr>
              <w:t>0.388</w:t>
            </w:r>
          </w:p>
        </w:tc>
      </w:tr>
      <w:tr>
        <w:tc>
          <w:tcPr>
            <w:tcW w:type="dxa" w:w="3685"/>
          </w:tcPr>
          <w:p>
            <w:pPr>
              <w:jc w:val="left"/>
            </w:pPr>
            <w:r>
              <w:rPr>
                <w:sz w:val="15"/>
              </w:rPr>
              <w:t>dsp_only/white/snr_+0dB</w:t>
            </w:r>
          </w:p>
        </w:tc>
        <w:tc>
          <w:tcPr>
            <w:tcW w:type="dxa" w:w="1020"/>
          </w:tcPr>
          <w:p>
            <w:pPr>
              <w:jc w:val="center"/>
            </w:pPr>
            <w:r>
              <w:rPr>
                <w:sz w:val="15"/>
              </w:rPr>
              <w:t>white</w:t>
            </w:r>
          </w:p>
        </w:tc>
        <w:tc>
          <w:tcPr>
            <w:tcW w:type="dxa" w:w="850"/>
          </w:tcPr>
          <w:p>
            <w:pPr>
              <w:jc w:val="center"/>
            </w:pPr>
            <w:r>
              <w:rPr>
                <w:sz w:val="15"/>
              </w:rPr>
              <w:t>+0</w:t>
            </w:r>
          </w:p>
        </w:tc>
        <w:tc>
          <w:tcPr>
            <w:tcW w:type="dxa" w:w="1020"/>
            <w:shd w:val="clear" w:color="auto" w:fill="ffcdd2"/>
          </w:tcPr>
          <w:p>
            <w:pPr>
              <w:jc w:val="center"/>
            </w:pPr>
            <w:r>
              <w:rPr>
                <w:sz w:val="15"/>
              </w:rPr>
              <w:t>1.028</w:t>
            </w:r>
          </w:p>
        </w:tc>
        <w:tc>
          <w:tcPr>
            <w:tcW w:type="dxa" w:w="1020"/>
          </w:tcPr>
          <w:p>
            <w:pPr>
              <w:jc w:val="center"/>
            </w:pPr>
            <w:r>
              <w:rPr>
                <w:sz w:val="15"/>
              </w:rPr>
              <w:t>0.434</w:t>
            </w:r>
          </w:p>
        </w:tc>
      </w:tr>
      <w:tr>
        <w:tc>
          <w:tcPr>
            <w:tcW w:type="dxa" w:w="3685"/>
          </w:tcPr>
          <w:p>
            <w:pPr>
              <w:jc w:val="left"/>
            </w:pPr>
            <w:r>
              <w:rPr>
                <w:sz w:val="15"/>
              </w:rPr>
              <w:t>dsp_only/white/snr_+5dB</w:t>
            </w:r>
          </w:p>
        </w:tc>
        <w:tc>
          <w:tcPr>
            <w:tcW w:type="dxa" w:w="1020"/>
          </w:tcPr>
          <w:p>
            <w:pPr>
              <w:jc w:val="center"/>
            </w:pPr>
            <w:r>
              <w:rPr>
                <w:sz w:val="15"/>
              </w:rPr>
              <w:t>white</w:t>
            </w:r>
          </w:p>
        </w:tc>
        <w:tc>
          <w:tcPr>
            <w:tcW w:type="dxa" w:w="850"/>
          </w:tcPr>
          <w:p>
            <w:pPr>
              <w:jc w:val="center"/>
            </w:pPr>
            <w:r>
              <w:rPr>
                <w:sz w:val="15"/>
              </w:rPr>
              <w:t>+5</w:t>
            </w:r>
          </w:p>
        </w:tc>
        <w:tc>
          <w:tcPr>
            <w:tcW w:type="dxa" w:w="1020"/>
            <w:shd w:val="clear" w:color="auto" w:fill="ffcdd2"/>
          </w:tcPr>
          <w:p>
            <w:pPr>
              <w:jc w:val="center"/>
            </w:pPr>
            <w:r>
              <w:rPr>
                <w:sz w:val="15"/>
              </w:rPr>
              <w:t>0.977</w:t>
            </w:r>
          </w:p>
        </w:tc>
        <w:tc>
          <w:tcPr>
            <w:tcW w:type="dxa" w:w="1020"/>
          </w:tcPr>
          <w:p>
            <w:pPr>
              <w:jc w:val="center"/>
            </w:pPr>
            <w:r>
              <w:rPr>
                <w:sz w:val="15"/>
              </w:rPr>
              <w:t>0.482</w:t>
            </w:r>
          </w:p>
        </w:tc>
      </w:tr>
      <w:tr>
        <w:tc>
          <w:tcPr>
            <w:tcW w:type="dxa" w:w="3685"/>
          </w:tcPr>
          <w:p>
            <w:pPr>
              <w:jc w:val="left"/>
            </w:pPr>
            <w:r>
              <w:rPr>
                <w:sz w:val="15"/>
              </w:rPr>
              <w:t>dsp_only/white/snr_+10dB</w:t>
            </w:r>
          </w:p>
        </w:tc>
        <w:tc>
          <w:tcPr>
            <w:tcW w:type="dxa" w:w="1020"/>
          </w:tcPr>
          <w:p>
            <w:pPr>
              <w:jc w:val="center"/>
            </w:pPr>
            <w:r>
              <w:rPr>
                <w:sz w:val="15"/>
              </w:rPr>
              <w:t>white</w:t>
            </w:r>
          </w:p>
        </w:tc>
        <w:tc>
          <w:tcPr>
            <w:tcW w:type="dxa" w:w="850"/>
          </w:tcPr>
          <w:p>
            <w:pPr>
              <w:jc w:val="center"/>
            </w:pPr>
            <w:r>
              <w:rPr>
                <w:sz w:val="15"/>
              </w:rPr>
              <w:t>+10</w:t>
            </w:r>
          </w:p>
        </w:tc>
        <w:tc>
          <w:tcPr>
            <w:tcW w:type="dxa" w:w="1020"/>
            <w:shd w:val="clear" w:color="auto" w:fill="ffcdd2"/>
          </w:tcPr>
          <w:p>
            <w:pPr>
              <w:jc w:val="center"/>
            </w:pPr>
            <w:r>
              <w:rPr>
                <w:sz w:val="15"/>
              </w:rPr>
              <w:t>0.802</w:t>
            </w:r>
          </w:p>
        </w:tc>
        <w:tc>
          <w:tcPr>
            <w:tcW w:type="dxa" w:w="1020"/>
          </w:tcPr>
          <w:p>
            <w:pPr>
              <w:jc w:val="center"/>
            </w:pPr>
            <w:r>
              <w:rPr>
                <w:sz w:val="15"/>
              </w:rPr>
              <w:t>0.540</w:t>
            </w:r>
          </w:p>
        </w:tc>
      </w:tr>
      <w:tr>
        <w:tc>
          <w:tcPr>
            <w:tcW w:type="dxa" w:w="3685"/>
          </w:tcPr>
          <w:p>
            <w:pPr>
              <w:jc w:val="left"/>
            </w:pPr>
            <w:r>
              <w:rPr>
                <w:sz w:val="15"/>
              </w:rPr>
              <w:t>dsp_only/white/snr_+20dB</w:t>
            </w:r>
          </w:p>
        </w:tc>
        <w:tc>
          <w:tcPr>
            <w:tcW w:type="dxa" w:w="1020"/>
          </w:tcPr>
          <w:p>
            <w:pPr>
              <w:jc w:val="center"/>
            </w:pPr>
            <w:r>
              <w:rPr>
                <w:sz w:val="15"/>
              </w:rPr>
              <w:t>white</w:t>
            </w:r>
          </w:p>
        </w:tc>
        <w:tc>
          <w:tcPr>
            <w:tcW w:type="dxa" w:w="850"/>
          </w:tcPr>
          <w:p>
            <w:pPr>
              <w:jc w:val="center"/>
            </w:pPr>
            <w:r>
              <w:rPr>
                <w:sz w:val="15"/>
              </w:rPr>
              <w:t>+20</w:t>
            </w:r>
          </w:p>
        </w:tc>
        <w:tc>
          <w:tcPr>
            <w:tcW w:type="dxa" w:w="1020"/>
            <w:shd w:val="clear" w:color="auto" w:fill="ffe0b2"/>
          </w:tcPr>
          <w:p>
            <w:pPr>
              <w:jc w:val="center"/>
            </w:pPr>
            <w:r>
              <w:rPr>
                <w:sz w:val="15"/>
              </w:rPr>
              <w:t>0.512</w:t>
            </w:r>
          </w:p>
        </w:tc>
        <w:tc>
          <w:tcPr>
            <w:tcW w:type="dxa" w:w="1020"/>
          </w:tcPr>
          <w:p>
            <w:pPr>
              <w:jc w:val="center"/>
            </w:pPr>
            <w:r>
              <w:rPr>
                <w:sz w:val="15"/>
              </w:rPr>
              <w:t>0.699</w:t>
            </w:r>
          </w:p>
        </w:tc>
      </w:tr>
      <w:tr>
        <w:tc>
          <w:tcPr>
            <w:tcW w:type="dxa" w:w="3685"/>
          </w:tcPr>
          <w:p>
            <w:pPr>
              <w:jc w:val="left"/>
            </w:pPr>
            <w:r>
              <w:rPr>
                <w:sz w:val="15"/>
              </w:rPr>
              <w:t>dsp_only/pink/snr_-5dB</w:t>
            </w:r>
          </w:p>
        </w:tc>
        <w:tc>
          <w:tcPr>
            <w:tcW w:type="dxa" w:w="1020"/>
          </w:tcPr>
          <w:p>
            <w:pPr>
              <w:jc w:val="center"/>
            </w:pPr>
            <w:r>
              <w:rPr>
                <w:sz w:val="15"/>
              </w:rPr>
              <w:t>pink</w:t>
            </w:r>
          </w:p>
        </w:tc>
        <w:tc>
          <w:tcPr>
            <w:tcW w:type="dxa" w:w="850"/>
          </w:tcPr>
          <w:p>
            <w:pPr>
              <w:jc w:val="center"/>
            </w:pPr>
            <w:r>
              <w:rPr>
                <w:sz w:val="15"/>
              </w:rPr>
              <w:t>-5</w:t>
            </w:r>
          </w:p>
        </w:tc>
        <w:tc>
          <w:tcPr>
            <w:tcW w:type="dxa" w:w="1020"/>
            <w:shd w:val="clear" w:color="auto" w:fill="ffcdd2"/>
          </w:tcPr>
          <w:p>
            <w:pPr>
              <w:jc w:val="center"/>
            </w:pPr>
            <w:r>
              <w:rPr>
                <w:sz w:val="15"/>
              </w:rPr>
              <w:t>1.001</w:t>
            </w:r>
          </w:p>
        </w:tc>
        <w:tc>
          <w:tcPr>
            <w:tcW w:type="dxa" w:w="1020"/>
          </w:tcPr>
          <w:p>
            <w:pPr>
              <w:jc w:val="center"/>
            </w:pPr>
            <w:r>
              <w:rPr>
                <w:sz w:val="15"/>
              </w:rPr>
              <w:t>0.380</w:t>
            </w:r>
          </w:p>
        </w:tc>
      </w:tr>
      <w:tr>
        <w:tc>
          <w:tcPr>
            <w:tcW w:type="dxa" w:w="3685"/>
          </w:tcPr>
          <w:p>
            <w:pPr>
              <w:jc w:val="left"/>
            </w:pPr>
            <w:r>
              <w:rPr>
                <w:sz w:val="15"/>
              </w:rPr>
              <w:t>dsp_only/pink/snr_+0dB</w:t>
            </w:r>
          </w:p>
        </w:tc>
        <w:tc>
          <w:tcPr>
            <w:tcW w:type="dxa" w:w="1020"/>
          </w:tcPr>
          <w:p>
            <w:pPr>
              <w:jc w:val="center"/>
            </w:pPr>
            <w:r>
              <w:rPr>
                <w:sz w:val="15"/>
              </w:rPr>
              <w:t>pink</w:t>
            </w:r>
          </w:p>
        </w:tc>
        <w:tc>
          <w:tcPr>
            <w:tcW w:type="dxa" w:w="850"/>
          </w:tcPr>
          <w:p>
            <w:pPr>
              <w:jc w:val="center"/>
            </w:pPr>
            <w:r>
              <w:rPr>
                <w:sz w:val="15"/>
              </w:rPr>
              <w:t>+0</w:t>
            </w:r>
          </w:p>
        </w:tc>
        <w:tc>
          <w:tcPr>
            <w:tcW w:type="dxa" w:w="1020"/>
            <w:shd w:val="clear" w:color="auto" w:fill="ffcdd2"/>
          </w:tcPr>
          <w:p>
            <w:pPr>
              <w:jc w:val="center"/>
            </w:pPr>
            <w:r>
              <w:rPr>
                <w:sz w:val="15"/>
              </w:rPr>
              <w:t>1.010</w:t>
            </w:r>
          </w:p>
        </w:tc>
        <w:tc>
          <w:tcPr>
            <w:tcW w:type="dxa" w:w="1020"/>
          </w:tcPr>
          <w:p>
            <w:pPr>
              <w:jc w:val="center"/>
            </w:pPr>
            <w:r>
              <w:rPr>
                <w:sz w:val="15"/>
              </w:rPr>
              <w:t>0.444</w:t>
            </w:r>
          </w:p>
        </w:tc>
      </w:tr>
      <w:tr>
        <w:tc>
          <w:tcPr>
            <w:tcW w:type="dxa" w:w="3685"/>
          </w:tcPr>
          <w:p>
            <w:pPr>
              <w:jc w:val="left"/>
            </w:pPr>
            <w:r>
              <w:rPr>
                <w:sz w:val="15"/>
              </w:rPr>
              <w:t>dsp_only/pink/snr_+5dB</w:t>
            </w:r>
          </w:p>
        </w:tc>
        <w:tc>
          <w:tcPr>
            <w:tcW w:type="dxa" w:w="1020"/>
          </w:tcPr>
          <w:p>
            <w:pPr>
              <w:jc w:val="center"/>
            </w:pPr>
            <w:r>
              <w:rPr>
                <w:sz w:val="15"/>
              </w:rPr>
              <w:t>pink</w:t>
            </w:r>
          </w:p>
        </w:tc>
        <w:tc>
          <w:tcPr>
            <w:tcW w:type="dxa" w:w="850"/>
          </w:tcPr>
          <w:p>
            <w:pPr>
              <w:jc w:val="center"/>
            </w:pPr>
            <w:r>
              <w:rPr>
                <w:sz w:val="15"/>
              </w:rPr>
              <w:t>+5</w:t>
            </w:r>
          </w:p>
        </w:tc>
        <w:tc>
          <w:tcPr>
            <w:tcW w:type="dxa" w:w="1020"/>
            <w:shd w:val="clear" w:color="auto" w:fill="ffcdd2"/>
          </w:tcPr>
          <w:p>
            <w:pPr>
              <w:jc w:val="center"/>
            </w:pPr>
            <w:r>
              <w:rPr>
                <w:sz w:val="15"/>
              </w:rPr>
              <w:t>0.843</w:t>
            </w:r>
          </w:p>
        </w:tc>
        <w:tc>
          <w:tcPr>
            <w:tcW w:type="dxa" w:w="1020"/>
          </w:tcPr>
          <w:p>
            <w:pPr>
              <w:jc w:val="center"/>
            </w:pPr>
            <w:r>
              <w:rPr>
                <w:sz w:val="15"/>
              </w:rPr>
              <w:t>0.510</w:t>
            </w:r>
          </w:p>
        </w:tc>
      </w:tr>
      <w:tr>
        <w:tc>
          <w:tcPr>
            <w:tcW w:type="dxa" w:w="3685"/>
          </w:tcPr>
          <w:p>
            <w:pPr>
              <w:jc w:val="left"/>
            </w:pPr>
            <w:r>
              <w:rPr>
                <w:sz w:val="15"/>
              </w:rPr>
              <w:t>dsp_only/pink/snr_+10dB</w:t>
            </w:r>
          </w:p>
        </w:tc>
        <w:tc>
          <w:tcPr>
            <w:tcW w:type="dxa" w:w="1020"/>
          </w:tcPr>
          <w:p>
            <w:pPr>
              <w:jc w:val="center"/>
            </w:pPr>
            <w:r>
              <w:rPr>
                <w:sz w:val="15"/>
              </w:rPr>
              <w:t>pink</w:t>
            </w:r>
          </w:p>
        </w:tc>
        <w:tc>
          <w:tcPr>
            <w:tcW w:type="dxa" w:w="850"/>
          </w:tcPr>
          <w:p>
            <w:pPr>
              <w:jc w:val="center"/>
            </w:pPr>
            <w:r>
              <w:rPr>
                <w:sz w:val="15"/>
              </w:rPr>
              <w:t>+10</w:t>
            </w:r>
          </w:p>
        </w:tc>
        <w:tc>
          <w:tcPr>
            <w:tcW w:type="dxa" w:w="1020"/>
            <w:shd w:val="clear" w:color="auto" w:fill="ffe0b2"/>
          </w:tcPr>
          <w:p>
            <w:pPr>
              <w:jc w:val="center"/>
            </w:pPr>
            <w:r>
              <w:rPr>
                <w:sz w:val="15"/>
              </w:rPr>
              <w:t>0.654</w:t>
            </w:r>
          </w:p>
        </w:tc>
        <w:tc>
          <w:tcPr>
            <w:tcW w:type="dxa" w:w="1020"/>
          </w:tcPr>
          <w:p>
            <w:pPr>
              <w:jc w:val="center"/>
            </w:pPr>
            <w:r>
              <w:rPr>
                <w:sz w:val="15"/>
              </w:rPr>
              <w:t>0.599</w:t>
            </w:r>
          </w:p>
        </w:tc>
      </w:tr>
      <w:tr>
        <w:tc>
          <w:tcPr>
            <w:tcW w:type="dxa" w:w="3685"/>
          </w:tcPr>
          <w:p>
            <w:pPr>
              <w:jc w:val="left"/>
            </w:pPr>
            <w:r>
              <w:rPr>
                <w:sz w:val="15"/>
              </w:rPr>
              <w:t>dsp_only/pink/snr_+20dB</w:t>
            </w:r>
          </w:p>
        </w:tc>
        <w:tc>
          <w:tcPr>
            <w:tcW w:type="dxa" w:w="1020"/>
          </w:tcPr>
          <w:p>
            <w:pPr>
              <w:jc w:val="center"/>
            </w:pPr>
            <w:r>
              <w:rPr>
                <w:sz w:val="15"/>
              </w:rPr>
              <w:t>pink</w:t>
            </w:r>
          </w:p>
        </w:tc>
        <w:tc>
          <w:tcPr>
            <w:tcW w:type="dxa" w:w="850"/>
          </w:tcPr>
          <w:p>
            <w:pPr>
              <w:jc w:val="center"/>
            </w:pPr>
            <w:r>
              <w:rPr>
                <w:sz w:val="15"/>
              </w:rPr>
              <w:t>+20</w:t>
            </w:r>
          </w:p>
        </w:tc>
        <w:tc>
          <w:tcPr>
            <w:tcW w:type="dxa" w:w="1020"/>
            <w:shd w:val="clear" w:color="auto" w:fill="fff9c4"/>
          </w:tcPr>
          <w:p>
            <w:pPr>
              <w:jc w:val="center"/>
            </w:pPr>
            <w:r>
              <w:rPr>
                <w:sz w:val="15"/>
              </w:rPr>
              <w:t>0.489</w:t>
            </w:r>
          </w:p>
        </w:tc>
        <w:tc>
          <w:tcPr>
            <w:tcW w:type="dxa" w:w="1020"/>
          </w:tcPr>
          <w:p>
            <w:pPr>
              <w:jc w:val="center"/>
            </w:pPr>
            <w:r>
              <w:rPr>
                <w:sz w:val="15"/>
              </w:rPr>
              <w:t>0.782</w:t>
            </w:r>
          </w:p>
        </w:tc>
      </w:tr>
      <w:tr>
        <w:tc>
          <w:tcPr>
            <w:tcW w:type="dxa" w:w="3685"/>
          </w:tcPr>
          <w:p>
            <w:pPr>
              <w:jc w:val="left"/>
            </w:pPr>
            <w:r>
              <w:rPr>
                <w:sz w:val="15"/>
              </w:rPr>
              <w:t>gtcrn/white/snr_-5dB</w:t>
            </w:r>
          </w:p>
        </w:tc>
        <w:tc>
          <w:tcPr>
            <w:tcW w:type="dxa" w:w="1020"/>
          </w:tcPr>
          <w:p>
            <w:pPr>
              <w:jc w:val="center"/>
            </w:pPr>
            <w:r>
              <w:rPr>
                <w:sz w:val="15"/>
              </w:rPr>
              <w:t>white</w:t>
            </w:r>
          </w:p>
        </w:tc>
        <w:tc>
          <w:tcPr>
            <w:tcW w:type="dxa" w:w="850"/>
          </w:tcPr>
          <w:p>
            <w:pPr>
              <w:jc w:val="center"/>
            </w:pPr>
            <w:r>
              <w:rPr>
                <w:sz w:val="15"/>
              </w:rPr>
              <w:t>-5</w:t>
            </w:r>
          </w:p>
        </w:tc>
        <w:tc>
          <w:tcPr>
            <w:tcW w:type="dxa" w:w="1020"/>
            <w:shd w:val="clear" w:color="auto" w:fill="ffcdd2"/>
          </w:tcPr>
          <w:p>
            <w:pPr>
              <w:jc w:val="center"/>
            </w:pPr>
            <w:r>
              <w:rPr>
                <w:sz w:val="15"/>
              </w:rPr>
              <w:t>1.188</w:t>
            </w:r>
          </w:p>
        </w:tc>
        <w:tc>
          <w:tcPr>
            <w:tcW w:type="dxa" w:w="1020"/>
          </w:tcPr>
          <w:p>
            <w:pPr>
              <w:jc w:val="center"/>
            </w:pPr>
            <w:r>
              <w:rPr>
                <w:sz w:val="15"/>
              </w:rPr>
              <w:t>0.659</w:t>
            </w:r>
          </w:p>
        </w:tc>
      </w:tr>
      <w:tr>
        <w:tc>
          <w:tcPr>
            <w:tcW w:type="dxa" w:w="3685"/>
          </w:tcPr>
          <w:p>
            <w:pPr>
              <w:jc w:val="left"/>
            </w:pPr>
            <w:r>
              <w:rPr>
                <w:sz w:val="15"/>
              </w:rPr>
              <w:t>gtcrn/white/snr_+0dB</w:t>
            </w:r>
          </w:p>
        </w:tc>
        <w:tc>
          <w:tcPr>
            <w:tcW w:type="dxa" w:w="1020"/>
          </w:tcPr>
          <w:p>
            <w:pPr>
              <w:jc w:val="center"/>
            </w:pPr>
            <w:r>
              <w:rPr>
                <w:sz w:val="15"/>
              </w:rPr>
              <w:t>white</w:t>
            </w:r>
          </w:p>
        </w:tc>
        <w:tc>
          <w:tcPr>
            <w:tcW w:type="dxa" w:w="850"/>
          </w:tcPr>
          <w:p>
            <w:pPr>
              <w:jc w:val="center"/>
            </w:pPr>
            <w:r>
              <w:rPr>
                <w:sz w:val="15"/>
              </w:rPr>
              <w:t>+0</w:t>
            </w:r>
          </w:p>
        </w:tc>
        <w:tc>
          <w:tcPr>
            <w:tcW w:type="dxa" w:w="1020"/>
            <w:shd w:val="clear" w:color="auto" w:fill="ffcdd2"/>
          </w:tcPr>
          <w:p>
            <w:pPr>
              <w:jc w:val="center"/>
            </w:pPr>
            <w:r>
              <w:rPr>
                <w:sz w:val="15"/>
              </w:rPr>
              <w:t>1.214</w:t>
            </w:r>
          </w:p>
        </w:tc>
        <w:tc>
          <w:tcPr>
            <w:tcW w:type="dxa" w:w="1020"/>
          </w:tcPr>
          <w:p>
            <w:pPr>
              <w:jc w:val="center"/>
            </w:pPr>
            <w:r>
              <w:rPr>
                <w:sz w:val="15"/>
              </w:rPr>
              <w:t>0.721</w:t>
            </w:r>
          </w:p>
        </w:tc>
      </w:tr>
      <w:tr>
        <w:tc>
          <w:tcPr>
            <w:tcW w:type="dxa" w:w="3685"/>
          </w:tcPr>
          <w:p>
            <w:pPr>
              <w:jc w:val="left"/>
            </w:pPr>
            <w:r>
              <w:rPr>
                <w:sz w:val="15"/>
              </w:rPr>
              <w:t>gtcrn/white/snr_+5dB</w:t>
            </w:r>
          </w:p>
        </w:tc>
        <w:tc>
          <w:tcPr>
            <w:tcW w:type="dxa" w:w="1020"/>
          </w:tcPr>
          <w:p>
            <w:pPr>
              <w:jc w:val="center"/>
            </w:pPr>
            <w:r>
              <w:rPr>
                <w:sz w:val="15"/>
              </w:rPr>
              <w:t>white</w:t>
            </w:r>
          </w:p>
        </w:tc>
        <w:tc>
          <w:tcPr>
            <w:tcW w:type="dxa" w:w="850"/>
          </w:tcPr>
          <w:p>
            <w:pPr>
              <w:jc w:val="center"/>
            </w:pPr>
            <w:r>
              <w:rPr>
                <w:sz w:val="15"/>
              </w:rPr>
              <w:t>+5</w:t>
            </w:r>
          </w:p>
        </w:tc>
        <w:tc>
          <w:tcPr>
            <w:tcW w:type="dxa" w:w="1020"/>
            <w:shd w:val="clear" w:color="auto" w:fill="ffcdd2"/>
          </w:tcPr>
          <w:p>
            <w:pPr>
              <w:jc w:val="center"/>
            </w:pPr>
            <w:r>
              <w:rPr>
                <w:sz w:val="15"/>
              </w:rPr>
              <w:t>0.982</w:t>
            </w:r>
          </w:p>
        </w:tc>
        <w:tc>
          <w:tcPr>
            <w:tcW w:type="dxa" w:w="1020"/>
          </w:tcPr>
          <w:p>
            <w:pPr>
              <w:jc w:val="center"/>
            </w:pPr>
            <w:r>
              <w:rPr>
                <w:sz w:val="15"/>
              </w:rPr>
              <w:t>0.767</w:t>
            </w:r>
          </w:p>
        </w:tc>
      </w:tr>
      <w:tr>
        <w:tc>
          <w:tcPr>
            <w:tcW w:type="dxa" w:w="3685"/>
          </w:tcPr>
          <w:p>
            <w:pPr>
              <w:jc w:val="left"/>
            </w:pPr>
            <w:r>
              <w:rPr>
                <w:sz w:val="15"/>
              </w:rPr>
              <w:t>gtcrn/white/snr_+10dB</w:t>
            </w:r>
          </w:p>
        </w:tc>
        <w:tc>
          <w:tcPr>
            <w:tcW w:type="dxa" w:w="1020"/>
          </w:tcPr>
          <w:p>
            <w:pPr>
              <w:jc w:val="center"/>
            </w:pPr>
            <w:r>
              <w:rPr>
                <w:sz w:val="15"/>
              </w:rPr>
              <w:t>white</w:t>
            </w:r>
          </w:p>
        </w:tc>
        <w:tc>
          <w:tcPr>
            <w:tcW w:type="dxa" w:w="850"/>
          </w:tcPr>
          <w:p>
            <w:pPr>
              <w:jc w:val="center"/>
            </w:pPr>
            <w:r>
              <w:rPr>
                <w:sz w:val="15"/>
              </w:rPr>
              <w:t>+10</w:t>
            </w:r>
          </w:p>
        </w:tc>
        <w:tc>
          <w:tcPr>
            <w:tcW w:type="dxa" w:w="1020"/>
            <w:shd w:val="clear" w:color="auto" w:fill="ffe0b2"/>
          </w:tcPr>
          <w:p>
            <w:pPr>
              <w:jc w:val="center"/>
            </w:pPr>
            <w:r>
              <w:rPr>
                <w:sz w:val="15"/>
              </w:rPr>
              <w:t>0.708</w:t>
            </w:r>
          </w:p>
        </w:tc>
        <w:tc>
          <w:tcPr>
            <w:tcW w:type="dxa" w:w="1020"/>
          </w:tcPr>
          <w:p>
            <w:pPr>
              <w:jc w:val="center"/>
            </w:pPr>
            <w:r>
              <w:rPr>
                <w:sz w:val="15"/>
              </w:rPr>
              <w:t>0.810</w:t>
            </w:r>
          </w:p>
        </w:tc>
      </w:tr>
      <w:tr>
        <w:tc>
          <w:tcPr>
            <w:tcW w:type="dxa" w:w="3685"/>
          </w:tcPr>
          <w:p>
            <w:pPr>
              <w:jc w:val="left"/>
            </w:pPr>
            <w:r>
              <w:rPr>
                <w:sz w:val="15"/>
              </w:rPr>
              <w:t>gtcrn/white/snr_+20dB</w:t>
            </w:r>
          </w:p>
        </w:tc>
        <w:tc>
          <w:tcPr>
            <w:tcW w:type="dxa" w:w="1020"/>
          </w:tcPr>
          <w:p>
            <w:pPr>
              <w:jc w:val="center"/>
            </w:pPr>
            <w:r>
              <w:rPr>
                <w:sz w:val="15"/>
              </w:rPr>
              <w:t>white</w:t>
            </w:r>
          </w:p>
        </w:tc>
        <w:tc>
          <w:tcPr>
            <w:tcW w:type="dxa" w:w="850"/>
          </w:tcPr>
          <w:p>
            <w:pPr>
              <w:jc w:val="center"/>
            </w:pPr>
            <w:r>
              <w:rPr>
                <w:sz w:val="15"/>
              </w:rPr>
              <w:t>+20</w:t>
            </w:r>
          </w:p>
        </w:tc>
        <w:tc>
          <w:tcPr>
            <w:tcW w:type="dxa" w:w="1020"/>
            <w:shd w:val="clear" w:color="auto" w:fill="fff9c4"/>
          </w:tcPr>
          <w:p>
            <w:pPr>
              <w:jc w:val="center"/>
            </w:pPr>
            <w:r>
              <w:rPr>
                <w:sz w:val="15"/>
              </w:rPr>
              <w:t>0.378</w:t>
            </w:r>
          </w:p>
        </w:tc>
        <w:tc>
          <w:tcPr>
            <w:tcW w:type="dxa" w:w="1020"/>
          </w:tcPr>
          <w:p>
            <w:pPr>
              <w:jc w:val="center"/>
            </w:pPr>
            <w:r>
              <w:rPr>
                <w:sz w:val="15"/>
              </w:rPr>
              <w:t>0.900</w:t>
            </w:r>
          </w:p>
        </w:tc>
      </w:tr>
      <w:tr>
        <w:tc>
          <w:tcPr>
            <w:tcW w:type="dxa" w:w="3685"/>
          </w:tcPr>
          <w:p>
            <w:pPr>
              <w:jc w:val="left"/>
            </w:pPr>
            <w:r>
              <w:rPr>
                <w:sz w:val="15"/>
              </w:rPr>
              <w:t>gtcrn/pink/snr_-5dB</w:t>
            </w:r>
          </w:p>
        </w:tc>
        <w:tc>
          <w:tcPr>
            <w:tcW w:type="dxa" w:w="1020"/>
          </w:tcPr>
          <w:p>
            <w:pPr>
              <w:jc w:val="center"/>
            </w:pPr>
            <w:r>
              <w:rPr>
                <w:sz w:val="15"/>
              </w:rPr>
              <w:t>pink</w:t>
            </w:r>
          </w:p>
        </w:tc>
        <w:tc>
          <w:tcPr>
            <w:tcW w:type="dxa" w:w="850"/>
          </w:tcPr>
          <w:p>
            <w:pPr>
              <w:jc w:val="center"/>
            </w:pPr>
            <w:r>
              <w:rPr>
                <w:sz w:val="15"/>
              </w:rPr>
              <w:t>-5</w:t>
            </w:r>
          </w:p>
        </w:tc>
        <w:tc>
          <w:tcPr>
            <w:tcW w:type="dxa" w:w="1020"/>
            <w:shd w:val="clear" w:color="auto" w:fill="ffcdd2"/>
          </w:tcPr>
          <w:p>
            <w:pPr>
              <w:jc w:val="center"/>
            </w:pPr>
            <w:r>
              <w:rPr>
                <w:sz w:val="15"/>
              </w:rPr>
              <w:t>1.081</w:t>
            </w:r>
          </w:p>
        </w:tc>
        <w:tc>
          <w:tcPr>
            <w:tcW w:type="dxa" w:w="1020"/>
          </w:tcPr>
          <w:p>
            <w:pPr>
              <w:jc w:val="center"/>
            </w:pPr>
            <w:r>
              <w:rPr>
                <w:sz w:val="15"/>
              </w:rPr>
              <w:t>0.624</w:t>
            </w:r>
          </w:p>
        </w:tc>
      </w:tr>
      <w:tr>
        <w:tc>
          <w:tcPr>
            <w:tcW w:type="dxa" w:w="3685"/>
          </w:tcPr>
          <w:p>
            <w:pPr>
              <w:jc w:val="left"/>
            </w:pPr>
            <w:r>
              <w:rPr>
                <w:sz w:val="15"/>
              </w:rPr>
              <w:t>gtcrn/pink/snr_+0dB</w:t>
            </w:r>
          </w:p>
        </w:tc>
        <w:tc>
          <w:tcPr>
            <w:tcW w:type="dxa" w:w="1020"/>
          </w:tcPr>
          <w:p>
            <w:pPr>
              <w:jc w:val="center"/>
            </w:pPr>
            <w:r>
              <w:rPr>
                <w:sz w:val="15"/>
              </w:rPr>
              <w:t>pink</w:t>
            </w:r>
          </w:p>
        </w:tc>
        <w:tc>
          <w:tcPr>
            <w:tcW w:type="dxa" w:w="850"/>
          </w:tcPr>
          <w:p>
            <w:pPr>
              <w:jc w:val="center"/>
            </w:pPr>
            <w:r>
              <w:rPr>
                <w:sz w:val="15"/>
              </w:rPr>
              <w:t>+0</w:t>
            </w:r>
          </w:p>
        </w:tc>
        <w:tc>
          <w:tcPr>
            <w:tcW w:type="dxa" w:w="1020"/>
            <w:shd w:val="clear" w:color="auto" w:fill="ffcdd2"/>
          </w:tcPr>
          <w:p>
            <w:pPr>
              <w:jc w:val="center"/>
            </w:pPr>
            <w:r>
              <w:rPr>
                <w:sz w:val="15"/>
              </w:rPr>
              <w:t>1.108</w:t>
            </w:r>
          </w:p>
        </w:tc>
        <w:tc>
          <w:tcPr>
            <w:tcW w:type="dxa" w:w="1020"/>
          </w:tcPr>
          <w:p>
            <w:pPr>
              <w:jc w:val="center"/>
            </w:pPr>
            <w:r>
              <w:rPr>
                <w:sz w:val="15"/>
              </w:rPr>
              <w:t>0.726</w:t>
            </w:r>
          </w:p>
        </w:tc>
      </w:tr>
      <w:tr>
        <w:tc>
          <w:tcPr>
            <w:tcW w:type="dxa" w:w="3685"/>
          </w:tcPr>
          <w:p>
            <w:pPr>
              <w:jc w:val="left"/>
            </w:pPr>
            <w:r>
              <w:rPr>
                <w:sz w:val="15"/>
              </w:rPr>
              <w:t>gtcrn/pink/snr_+5dB</w:t>
            </w:r>
          </w:p>
        </w:tc>
        <w:tc>
          <w:tcPr>
            <w:tcW w:type="dxa" w:w="1020"/>
          </w:tcPr>
          <w:p>
            <w:pPr>
              <w:jc w:val="center"/>
            </w:pPr>
            <w:r>
              <w:rPr>
                <w:sz w:val="15"/>
              </w:rPr>
              <w:t>pink</w:t>
            </w:r>
          </w:p>
        </w:tc>
        <w:tc>
          <w:tcPr>
            <w:tcW w:type="dxa" w:w="850"/>
          </w:tcPr>
          <w:p>
            <w:pPr>
              <w:jc w:val="center"/>
            </w:pPr>
            <w:r>
              <w:rPr>
                <w:sz w:val="15"/>
              </w:rPr>
              <w:t>+5</w:t>
            </w:r>
          </w:p>
        </w:tc>
        <w:tc>
          <w:tcPr>
            <w:tcW w:type="dxa" w:w="1020"/>
            <w:shd w:val="clear" w:color="auto" w:fill="ffcdd2"/>
          </w:tcPr>
          <w:p>
            <w:pPr>
              <w:jc w:val="center"/>
            </w:pPr>
            <w:r>
              <w:rPr>
                <w:sz w:val="15"/>
              </w:rPr>
              <w:t>0.854</w:t>
            </w:r>
          </w:p>
        </w:tc>
        <w:tc>
          <w:tcPr>
            <w:tcW w:type="dxa" w:w="1020"/>
          </w:tcPr>
          <w:p>
            <w:pPr>
              <w:jc w:val="center"/>
            </w:pPr>
            <w:r>
              <w:rPr>
                <w:sz w:val="15"/>
              </w:rPr>
              <w:t>0.788</w:t>
            </w:r>
          </w:p>
        </w:tc>
      </w:tr>
      <w:tr>
        <w:tc>
          <w:tcPr>
            <w:tcW w:type="dxa" w:w="3685"/>
          </w:tcPr>
          <w:p>
            <w:pPr>
              <w:jc w:val="left"/>
            </w:pPr>
            <w:r>
              <w:rPr>
                <w:sz w:val="15"/>
              </w:rPr>
              <w:t>gtcrn/pink/snr_+10dB</w:t>
            </w:r>
          </w:p>
        </w:tc>
        <w:tc>
          <w:tcPr>
            <w:tcW w:type="dxa" w:w="1020"/>
          </w:tcPr>
          <w:p>
            <w:pPr>
              <w:jc w:val="center"/>
            </w:pPr>
            <w:r>
              <w:rPr>
                <w:sz w:val="15"/>
              </w:rPr>
              <w:t>pink</w:t>
            </w:r>
          </w:p>
        </w:tc>
        <w:tc>
          <w:tcPr>
            <w:tcW w:type="dxa" w:w="850"/>
          </w:tcPr>
          <w:p>
            <w:pPr>
              <w:jc w:val="center"/>
            </w:pPr>
            <w:r>
              <w:rPr>
                <w:sz w:val="15"/>
              </w:rPr>
              <w:t>+10</w:t>
            </w:r>
          </w:p>
        </w:tc>
        <w:tc>
          <w:tcPr>
            <w:tcW w:type="dxa" w:w="1020"/>
            <w:shd w:val="clear" w:color="auto" w:fill="ffe0b2"/>
          </w:tcPr>
          <w:p>
            <w:pPr>
              <w:jc w:val="center"/>
            </w:pPr>
            <w:r>
              <w:rPr>
                <w:sz w:val="15"/>
              </w:rPr>
              <w:t>0.542</w:t>
            </w:r>
          </w:p>
        </w:tc>
        <w:tc>
          <w:tcPr>
            <w:tcW w:type="dxa" w:w="1020"/>
          </w:tcPr>
          <w:p>
            <w:pPr>
              <w:jc w:val="center"/>
            </w:pPr>
            <w:r>
              <w:rPr>
                <w:sz w:val="15"/>
              </w:rPr>
              <w:t>0.846</w:t>
            </w:r>
          </w:p>
        </w:tc>
      </w:tr>
      <w:tr>
        <w:tc>
          <w:tcPr>
            <w:tcW w:type="dxa" w:w="3685"/>
          </w:tcPr>
          <w:p>
            <w:pPr>
              <w:jc w:val="left"/>
            </w:pPr>
            <w:r>
              <w:rPr>
                <w:sz w:val="15"/>
              </w:rPr>
              <w:t>gtcrn/pink/snr_+20dB</w:t>
            </w:r>
          </w:p>
        </w:tc>
        <w:tc>
          <w:tcPr>
            <w:tcW w:type="dxa" w:w="1020"/>
          </w:tcPr>
          <w:p>
            <w:pPr>
              <w:jc w:val="center"/>
            </w:pPr>
            <w:r>
              <w:rPr>
                <w:sz w:val="15"/>
              </w:rPr>
              <w:t>pink</w:t>
            </w:r>
          </w:p>
        </w:tc>
        <w:tc>
          <w:tcPr>
            <w:tcW w:type="dxa" w:w="850"/>
          </w:tcPr>
          <w:p>
            <w:pPr>
              <w:jc w:val="center"/>
            </w:pPr>
            <w:r>
              <w:rPr>
                <w:sz w:val="15"/>
              </w:rPr>
              <w:t>+20</w:t>
            </w:r>
          </w:p>
        </w:tc>
        <w:tc>
          <w:tcPr>
            <w:tcW w:type="dxa" w:w="1020"/>
            <w:shd w:val="clear" w:color="auto" w:fill="fff9c4"/>
          </w:tcPr>
          <w:p>
            <w:pPr>
              <w:jc w:val="center"/>
            </w:pPr>
            <w:r>
              <w:rPr>
                <w:sz w:val="15"/>
              </w:rPr>
              <w:t>0.370</w:t>
            </w:r>
          </w:p>
        </w:tc>
        <w:tc>
          <w:tcPr>
            <w:tcW w:type="dxa" w:w="1020"/>
          </w:tcPr>
          <w:p>
            <w:pPr>
              <w:jc w:val="center"/>
            </w:pPr>
            <w:r>
              <w:rPr>
                <w:sz w:val="15"/>
              </w:rPr>
              <w:t>0.936</w:t>
            </w:r>
          </w:p>
        </w:tc>
      </w:tr>
    </w:tbl>
    <w:p>
      <w:r>
        <w:rPr>
          <w:sz w:val="16"/>
        </w:rPr>
        <w:t>※ 色凡例：緑(CER&lt;0.30)、黄(0.30–0.50)、橙(0.50–0.80)、赤(≥0.80)</w:t>
      </w:r>
    </w:p>
    <w:p/>
    <w:p>
      <w:pPr>
        <w:pStyle w:val="Heading1"/>
        <w:jc w:val="left"/>
      </w:pPr>
      <w:r>
        <w:t>参考文献</w:t>
      </w:r>
    </w:p>
    <w:p>
      <w:pPr>
        <w:spacing w:after="80"/>
      </w:pPr>
      <w:r>
        <w:rPr>
          <w:sz w:val="18"/>
        </w:rPr>
        <w:t>[1] C.O. Mawalim, S. Okada, M. Unoki, "Are Recent Deep Learning-Based Speech Enhancement Methods Ready to Confront Real-World Noisy Environments?" Proc. Interspeech 2024, pp.1735–1739, DOI: 10.21437/Interspeech.2024-129.</w:t>
      </w:r>
    </w:p>
    <w:p>
      <w:pPr>
        <w:spacing w:after="80"/>
      </w:pPr>
      <w:r>
        <w:rPr>
          <w:sz w:val="18"/>
        </w:rPr>
        <w:t>[2] T. Ochiai et al., "Rethinking Processing Distortions: How Do They Affect the Downstream ASR Performance?" IEEE/ACM Trans. Audio Speech Lang. Process., TASLP 2024, arXiv:2404.14860.</w:t>
      </w:r>
    </w:p>
    <w:p>
      <w:pPr>
        <w:spacing w:after="80"/>
      </w:pPr>
      <w:r>
        <w:rPr>
          <w:sz w:val="18"/>
        </w:rPr>
        <w:t>[3] X. Rong et al., "GTCRN: A Speech Enhancement Model Requiring Ultra-Tiny Resources," arXiv:2404.11567, 2024.</w:t>
      </w:r>
    </w:p>
    <w:p>
      <w:pPr>
        <w:spacing w:after="80"/>
      </w:pPr>
      <w:r>
        <w:rPr>
          <w:sz w:val="18"/>
        </w:rPr>
        <w:t>[4] Y. Kim et al., "TAPS: Throat and Acoustic Pairing Speech Dataset," HuggingFace: yskim3271/Throat_and_Acoustic_Pairing_Speech_Dataset.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