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2452C" w14:textId="77777777" w:rsidR="00DE7B00" w:rsidRPr="00E231B4" w:rsidRDefault="00182AD5" w:rsidP="00E231B4">
      <w:pPr>
        <w:jc w:val="right"/>
        <w:rPr>
          <w:rFonts w:ascii="ＭＳ 明朝" w:hAnsi="ＭＳ 明朝"/>
          <w:sz w:val="20"/>
          <w:bdr w:val="single" w:sz="4" w:space="0" w:color="auto"/>
        </w:rPr>
      </w:pPr>
      <w:r>
        <w:rPr>
          <w:rFonts w:ascii="ＭＳ 明朝" w:hAnsi="ＭＳ 明朝" w:hint="eastAsia"/>
          <w:noProof/>
          <w:sz w:val="20"/>
        </w:rPr>
        <mc:AlternateContent>
          <mc:Choice Requires="wps">
            <w:drawing>
              <wp:anchor distT="0" distB="0" distL="114300" distR="114300" simplePos="0" relativeHeight="251661312" behindDoc="0" locked="0" layoutInCell="1" allowOverlap="1" wp14:anchorId="37F4A3F8" wp14:editId="3F4343ED">
                <wp:simplePos x="0" y="0"/>
                <wp:positionH relativeFrom="column">
                  <wp:posOffset>0</wp:posOffset>
                </wp:positionH>
                <wp:positionV relativeFrom="paragraph">
                  <wp:posOffset>0</wp:posOffset>
                </wp:positionV>
                <wp:extent cx="2152650" cy="247650"/>
                <wp:effectExtent l="0" t="0" r="19050" b="19050"/>
                <wp:wrapNone/>
                <wp:docPr id="207688142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2476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000000">
                                    <a:alpha val="74998"/>
                                  </a:srgbClr>
                                </a:outerShdw>
                              </a:effectLst>
                            </a14:hiddenEffects>
                          </a:ext>
                        </a:extLst>
                      </wps:spPr>
                      <wps:txbx>
                        <w:txbxContent>
                          <w:p w14:paraId="60A4E696" w14:textId="77777777" w:rsidR="00182AD5" w:rsidRDefault="00182AD5" w:rsidP="00182AD5">
                            <w:r>
                              <w:rPr>
                                <w:rFonts w:hint="eastAsia"/>
                              </w:rPr>
                              <w:t>先端メディアサイエンス専攻用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F4A3F8" id="_x0000_t202" coordsize="21600,21600" o:spt="202" path="m,l,21600r21600,l21600,xe">
                <v:stroke joinstyle="miter"/>
                <v:path gradientshapeok="t" o:connecttype="rect"/>
              </v:shapetype>
              <v:shape id="Text Box 5" o:spid="_x0000_s1026" type="#_x0000_t202" style="position:absolute;left:0;text-align:left;margin-left:0;margin-top:0;width:169.5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">
                <v:textbox>
                  <w:txbxContent>
                    <w:p w14:paraId="6E4881F5" w14:textId="77777777" w:rsidR="00182AD5" w:rsidRDefault="00182AD5" w:rsidP="00182AD5">
                      <w:r>
                        <w:rPr>
                          <w:rFonts w:hint="eastAsia"/>
                        </w:rPr>
                        <w:t>先端メディアサイエンス専攻用</w:t>
                      </w:r>
                    </w:p>
                  </w:txbxContent>
                </v:textbox>
              </v:shape>
            </w:pict>
          </mc:Fallback>
        </mc:AlternateContent>
      </w:r>
      <w:r w:rsidR="00BC1DA8">
        <w:rPr>
          <w:rFonts w:ascii="ＭＳ 明朝" w:hAnsi="ＭＳ 明朝" w:hint="eastAsia"/>
          <w:sz w:val="20"/>
          <w:bdr w:val="single" w:sz="4" w:space="0" w:color="auto"/>
        </w:rPr>
        <w:t xml:space="preserve"> 202</w:t>
      </w:r>
      <w:r w:rsidR="00BC1DA8">
        <w:rPr>
          <w:rFonts w:ascii="ＭＳ 明朝" w:hAnsi="ＭＳ 明朝"/>
          <w:sz w:val="20"/>
          <w:bdr w:val="single" w:sz="4" w:space="0" w:color="auto"/>
        </w:rPr>
        <w:t>7</w:t>
      </w:r>
      <w:r w:rsidR="00BC1DA8">
        <w:rPr>
          <w:rFonts w:ascii="ＭＳ 明朝" w:hAnsi="ＭＳ 明朝" w:hint="eastAsia"/>
          <w:sz w:val="20"/>
          <w:bdr w:val="single" w:sz="4" w:space="0" w:color="auto"/>
        </w:rPr>
        <w:t xml:space="preserve">年度 </w:t>
      </w:r>
    </w:p>
    <w:p w14:paraId="5424904F" w14:textId="77777777" w:rsidR="00BC1DA8" w:rsidRDefault="00BC1DA8" w:rsidP="00E231B4">
      <w:pPr>
        <w:ind w:right="200"/>
        <w:jc w:val="right"/>
        <w:rPr>
          <w:rFonts w:ascii="ＭＳ 明朝" w:hAnsi="ＭＳ 明朝"/>
          <w:sz w:val="20"/>
        </w:rPr>
      </w:pPr>
    </w:p>
    <w:p w14:paraId="19C1130C" w14:textId="77777777" w:rsidR="00BC1DA8" w:rsidRDefault="00BC1DA8" w:rsidP="00BC1DA8">
      <w:pPr>
        <w:jc w:val="center"/>
        <w:rPr>
          <w:rFonts w:ascii="ＭＳ 明朝" w:hAnsi="ＭＳ 明朝"/>
          <w:b/>
          <w:bCs/>
          <w:kern w:val="0"/>
          <w:sz w:val="36"/>
        </w:rPr>
      </w:pPr>
      <w:r>
        <w:rPr>
          <w:noProof/>
        </w:rPr>
        <mc:AlternateContent>
          <mc:Choice Requires="wps">
            <w:drawing>
              <wp:anchor distT="0" distB="0" distL="114300" distR="114300" simplePos="0" relativeHeight="251659264" behindDoc="0" locked="0" layoutInCell="1" allowOverlap="1" wp14:anchorId="3A6C5A29" wp14:editId="7C914938">
                <wp:simplePos x="0" y="0"/>
                <wp:positionH relativeFrom="column">
                  <wp:posOffset>5105400</wp:posOffset>
                </wp:positionH>
                <wp:positionV relativeFrom="paragraph">
                  <wp:posOffset>64770</wp:posOffset>
                </wp:positionV>
                <wp:extent cx="1144270" cy="240030"/>
                <wp:effectExtent l="635" t="5715" r="10795" b="8255"/>
                <wp:wrapNone/>
                <wp:docPr id="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4270" cy="240030"/>
                        </a:xfrm>
                        <a:prstGeom prst="rect">
                          <a:avLst/>
                        </a:prstGeom>
                        <a:solidFill>
                          <a:srgbClr val="FFFFFF"/>
                        </a:solidFill>
                        <a:ln w="9525">
                          <a:solidFill>
                            <a:srgbClr val="000000"/>
                          </a:solidFill>
                          <a:miter lim="800000"/>
                          <a:headEnd/>
                          <a:tailEnd/>
                        </a:ln>
                      </wps:spPr>
                      <wps:txbx>
                        <w:txbxContent>
                          <w:p w14:paraId="703776D5" w14:textId="77777777" w:rsidR="00BC1DA8" w:rsidRPr="002E61EC" w:rsidRDefault="00BC1DA8" w:rsidP="00BC1DA8">
                            <w:pPr>
                              <w:rPr>
                                <w:sz w:val="16"/>
                                <w:szCs w:val="16"/>
                              </w:rPr>
                            </w:pPr>
                            <w:r>
                              <w:rPr>
                                <w:rFonts w:hint="eastAsia"/>
                                <w:sz w:val="16"/>
                                <w:szCs w:val="16"/>
                              </w:rPr>
                              <w:t>※は記入しないこと</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6C5A29" id="テキスト ボックス 2" o:spid="_x0000_s1027" type="#_x0000_t202" style="position:absolute;left:0;text-align:left;margin-left:402pt;margin-top:5.1pt;width:90.1pt;height:1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">
                <v:textbox>
                  <w:txbxContent>
                    <w:p w14:paraId="2773EC15" w14:textId="77777777" w:rsidR="00BC1DA8" w:rsidRPr="002E61EC" w:rsidRDefault="00BC1DA8" w:rsidP="00BC1DA8">
                      <w:pPr>
                        <w:rPr>
                          <w:sz w:val="16"/>
                          <w:szCs w:val="16"/>
                        </w:rPr>
                      </w:pPr>
                      <w:r>
                        <w:rPr>
                          <w:rFonts w:hint="eastAsia"/>
                          <w:sz w:val="16"/>
                          <w:szCs w:val="16"/>
                        </w:rPr>
                        <w:t>※は記入しないこと</w:t>
                      </w:r>
                    </w:p>
                  </w:txbxContent>
                </v:textbox>
              </v:shape>
            </w:pict>
          </mc:Fallback>
        </mc:AlternateContent>
      </w:r>
      <w:r w:rsidRPr="00E231B4">
        <w:rPr>
          <w:rFonts w:ascii="ＭＳ 明朝" w:hAnsi="ＭＳ 明朝" w:hint="eastAsia"/>
          <w:b/>
          <w:bCs/>
          <w:spacing w:val="168"/>
          <w:kern w:val="0"/>
          <w:sz w:val="36"/>
          <w:fitText w:val="3150" w:id="-2056554752"/>
        </w:rPr>
        <w:t>研究計画</w:t>
      </w:r>
      <w:r w:rsidRPr="00E231B4">
        <w:rPr>
          <w:rFonts w:ascii="ＭＳ 明朝" w:hAnsi="ＭＳ 明朝" w:hint="eastAsia"/>
          <w:b/>
          <w:bCs/>
          <w:kern w:val="0"/>
          <w:sz w:val="36"/>
          <w:fitText w:val="3150" w:id="-2056554752"/>
        </w:rPr>
        <w:t>書</w:t>
      </w:r>
    </w:p>
    <w:tbl>
      <w:tblPr>
        <w:tblpPr w:leftFromText="142" w:rightFromText="142" w:vertAnchor="page" w:horzAnchor="margin" w:tblpY="1726"/>
        <w:tblOverlap w:val="never"/>
        <w:tblW w:w="9938" w:type="dxa"/>
        <w:tblLayout w:type="fixed"/>
        <w:tblCellMar>
          <w:left w:w="0" w:type="dxa"/>
          <w:right w:w="0" w:type="dxa"/>
        </w:tblCellMar>
        <w:tblLook w:val="0000" w:firstRow="0" w:lastRow="0" w:firstColumn="0" w:lastColumn="0" w:noHBand="0" w:noVBand="0"/>
      </w:tblPr>
      <w:tblGrid>
        <w:gridCol w:w="1623"/>
        <w:gridCol w:w="201"/>
        <w:gridCol w:w="5025"/>
        <w:gridCol w:w="1206"/>
        <w:gridCol w:w="1883"/>
      </w:tblGrid>
      <w:tr w:rsidR="00BC1DA8" w14:paraId="33E55AA8" w14:textId="77777777" w:rsidTr="00D40E0E">
        <w:trPr>
          <w:trHeight w:val="942"/>
        </w:trPr>
        <w:tc>
          <w:tcPr>
            <w:tcW w:w="1824" w:type="dxa"/>
            <w:gridSpan w:val="2"/>
            <w:tcBorders>
              <w:top w:val="single" w:sz="12" w:space="0" w:color="auto"/>
              <w:left w:val="single" w:sz="12" w:space="0" w:color="auto"/>
              <w:right w:val="nil"/>
            </w:tcBorders>
            <w:noWrap/>
            <w:tcMar>
              <w:top w:w="15" w:type="dxa"/>
              <w:left w:w="15" w:type="dxa"/>
              <w:bottom w:w="0" w:type="dxa"/>
              <w:right w:w="15" w:type="dxa"/>
            </w:tcMar>
            <w:vAlign w:val="center"/>
          </w:tcPr>
          <w:p w14:paraId="1F047FDD" w14:textId="77777777" w:rsidR="00BC1DA8" w:rsidRDefault="00BC1DA8" w:rsidP="003B4098">
            <w:pPr>
              <w:jc w:val="center"/>
              <w:rPr>
                <w:rFonts w:ascii="ＭＳ 明朝" w:hAnsi="ＭＳ 明朝" w:cs="Arial Unicode MS"/>
                <w:sz w:val="20"/>
              </w:rPr>
            </w:pPr>
            <w:r>
              <w:rPr>
                <w:rFonts w:ascii="ＭＳ 明朝" w:hAnsi="ＭＳ 明朝" w:cs="Arial Unicode MS" w:hint="eastAsia"/>
                <w:sz w:val="20"/>
              </w:rPr>
              <w:t xml:space="preserve">博士前期 </w:t>
            </w:r>
            <w:r>
              <w:rPr>
                <w:rFonts w:ascii="ＭＳ 明朝" w:hAnsi="ＭＳ 明朝" w:hint="eastAsia"/>
                <w:sz w:val="20"/>
              </w:rPr>
              <w:t xml:space="preserve">課程　　　</w:t>
            </w:r>
          </w:p>
        </w:tc>
        <w:tc>
          <w:tcPr>
            <w:tcW w:w="5025" w:type="dxa"/>
            <w:tcBorders>
              <w:top w:val="single" w:sz="12" w:space="0" w:color="auto"/>
              <w:left w:val="nil"/>
              <w:bottom w:val="single" w:sz="8" w:space="0" w:color="auto"/>
              <w:right w:val="single" w:sz="4" w:space="0" w:color="000000"/>
            </w:tcBorders>
            <w:noWrap/>
            <w:tcMar>
              <w:top w:w="15" w:type="dxa"/>
              <w:left w:w="15" w:type="dxa"/>
              <w:bottom w:w="0" w:type="dxa"/>
              <w:right w:w="15" w:type="dxa"/>
            </w:tcMar>
            <w:vAlign w:val="center"/>
          </w:tcPr>
          <w:p w14:paraId="0AAA0639" w14:textId="77777777" w:rsidR="00BC1DA8" w:rsidRPr="00232260" w:rsidRDefault="00BC1DA8" w:rsidP="00BC1DA8">
            <w:pPr>
              <w:ind w:right="-15" w:firstLineChars="50" w:firstLine="105"/>
              <w:rPr>
                <w:rFonts w:ascii="ＭＳ 明朝" w:hAnsi="ＭＳ 明朝" w:cs="Arial Unicode MS"/>
                <w:szCs w:val="21"/>
              </w:rPr>
            </w:pPr>
            <w:r>
              <w:rPr>
                <w:rFonts w:ascii="ＭＳ 明朝" w:hAnsi="ＭＳ 明朝" w:hint="eastAsia"/>
                <w:szCs w:val="21"/>
              </w:rPr>
              <w:t>先端数理科学研究科 先端メディアサイエンス専攻</w:t>
            </w:r>
          </w:p>
        </w:tc>
        <w:tc>
          <w:tcPr>
            <w:tcW w:w="1206" w:type="dxa"/>
            <w:tcBorders>
              <w:top w:val="single" w:sz="12" w:space="0" w:color="auto"/>
              <w:left w:val="single" w:sz="4" w:space="0" w:color="auto"/>
              <w:bottom w:val="single" w:sz="8" w:space="0" w:color="auto"/>
              <w:right w:val="single" w:sz="4" w:space="0" w:color="auto"/>
            </w:tcBorders>
            <w:noWrap/>
            <w:tcMar>
              <w:top w:w="15" w:type="dxa"/>
              <w:left w:w="15" w:type="dxa"/>
              <w:bottom w:w="0" w:type="dxa"/>
              <w:right w:w="15" w:type="dxa"/>
            </w:tcMar>
            <w:vAlign w:val="center"/>
          </w:tcPr>
          <w:p w14:paraId="37BD7061" w14:textId="77777777" w:rsidR="00BC1DA8" w:rsidRDefault="00BC1DA8" w:rsidP="003B4098">
            <w:pPr>
              <w:ind w:firstLineChars="100" w:firstLine="200"/>
              <w:rPr>
                <w:rFonts w:ascii="ＭＳ 明朝" w:hAnsi="ＭＳ 明朝" w:cs="Arial Unicode MS"/>
                <w:sz w:val="20"/>
              </w:rPr>
            </w:pPr>
            <w:r>
              <w:rPr>
                <w:rFonts w:ascii="ＭＳ 明朝" w:hAnsi="ＭＳ 明朝" w:hint="eastAsia"/>
                <w:sz w:val="20"/>
              </w:rPr>
              <w:t>受験番号</w:t>
            </w:r>
          </w:p>
        </w:tc>
        <w:tc>
          <w:tcPr>
            <w:tcW w:w="1883" w:type="dxa"/>
            <w:tcBorders>
              <w:top w:val="single" w:sz="12" w:space="0" w:color="auto"/>
              <w:left w:val="single" w:sz="4" w:space="0" w:color="auto"/>
              <w:bottom w:val="single" w:sz="8" w:space="0" w:color="auto"/>
              <w:right w:val="single" w:sz="12" w:space="0" w:color="auto"/>
            </w:tcBorders>
            <w:noWrap/>
            <w:tcMar>
              <w:top w:w="15" w:type="dxa"/>
              <w:left w:w="15" w:type="dxa"/>
              <w:bottom w:w="0" w:type="dxa"/>
              <w:right w:w="15" w:type="dxa"/>
            </w:tcMar>
          </w:tcPr>
          <w:p w14:paraId="798D1180" w14:textId="77777777" w:rsidR="00BC1DA8" w:rsidRDefault="00BC1DA8" w:rsidP="003B4098">
            <w:pPr>
              <w:rPr>
                <w:rFonts w:ascii="ＭＳ 明朝" w:hAnsi="ＭＳ 明朝" w:cs="Arial Unicode MS"/>
                <w:sz w:val="16"/>
              </w:rPr>
            </w:pPr>
            <w:r>
              <w:rPr>
                <w:rFonts w:ascii="ＭＳ 明朝" w:hAnsi="ＭＳ 明朝" w:hint="eastAsia"/>
                <w:sz w:val="16"/>
              </w:rPr>
              <w:t>※</w:t>
            </w:r>
          </w:p>
        </w:tc>
      </w:tr>
      <w:tr w:rsidR="00BC1DA8" w14:paraId="1D7A2D27" w14:textId="77777777" w:rsidTr="003B4098">
        <w:tc>
          <w:tcPr>
            <w:tcW w:w="1623" w:type="dxa"/>
            <w:tcBorders>
              <w:top w:val="single" w:sz="8" w:space="0" w:color="auto"/>
              <w:left w:val="single" w:sz="12" w:space="0" w:color="auto"/>
              <w:bottom w:val="dashSmallGap" w:sz="4" w:space="0" w:color="auto"/>
              <w:right w:val="single" w:sz="4" w:space="0" w:color="auto"/>
            </w:tcBorders>
            <w:noWrap/>
            <w:tcMar>
              <w:top w:w="15" w:type="dxa"/>
              <w:left w:w="15" w:type="dxa"/>
              <w:bottom w:w="0" w:type="dxa"/>
              <w:right w:w="15" w:type="dxa"/>
            </w:tcMar>
            <w:vAlign w:val="center"/>
          </w:tcPr>
          <w:p w14:paraId="00D39BF4" w14:textId="77777777" w:rsidR="00BC1DA8" w:rsidRDefault="00BC1DA8" w:rsidP="003B4098">
            <w:pPr>
              <w:jc w:val="center"/>
              <w:rPr>
                <w:rFonts w:ascii="ＭＳ 明朝" w:hAnsi="ＭＳ 明朝" w:cs="Arial Unicode MS"/>
                <w:sz w:val="20"/>
              </w:rPr>
            </w:pPr>
            <w:r>
              <w:rPr>
                <w:rFonts w:ascii="ＭＳ 明朝" w:hAnsi="ＭＳ 明朝" w:hint="eastAsia"/>
                <w:sz w:val="20"/>
              </w:rPr>
              <w:t>フリガナ</w:t>
            </w:r>
          </w:p>
        </w:tc>
        <w:tc>
          <w:tcPr>
            <w:tcW w:w="5226" w:type="dxa"/>
            <w:gridSpan w:val="2"/>
            <w:tcBorders>
              <w:top w:val="single" w:sz="8" w:space="0" w:color="auto"/>
              <w:left w:val="nil"/>
              <w:bottom w:val="dashSmallGap" w:sz="4" w:space="0" w:color="auto"/>
              <w:right w:val="single" w:sz="4" w:space="0" w:color="000000"/>
            </w:tcBorders>
            <w:noWrap/>
            <w:tcMar>
              <w:top w:w="15" w:type="dxa"/>
              <w:left w:w="15" w:type="dxa"/>
              <w:bottom w:w="0" w:type="dxa"/>
              <w:right w:w="15" w:type="dxa"/>
            </w:tcMar>
            <w:vAlign w:val="center"/>
          </w:tcPr>
          <w:p w14:paraId="5112869A" w14:textId="77777777" w:rsidR="00BC1DA8" w:rsidRDefault="00BC1DA8" w:rsidP="003B4098">
            <w:pPr>
              <w:jc w:val="center"/>
              <w:rPr>
                <w:rFonts w:ascii="ＭＳ 明朝" w:hAnsi="ＭＳ 明朝" w:cs="Arial Unicode MS"/>
                <w:sz w:val="20"/>
              </w:rPr>
            </w:pPr>
            <w:r>
              <w:rPr>
                <w:rFonts w:ascii="ＭＳ 明朝" w:hAnsi="ＭＳ 明朝" w:hint="eastAsia"/>
                <w:sz w:val="20"/>
              </w:rPr>
              <w:t xml:space="preserve">　カスガユウジ</w:t>
            </w:r>
          </w:p>
        </w:tc>
        <w:tc>
          <w:tcPr>
            <w:tcW w:w="3089" w:type="dxa"/>
            <w:gridSpan w:val="2"/>
            <w:tcBorders>
              <w:top w:val="single" w:sz="4" w:space="0" w:color="auto"/>
              <w:left w:val="single" w:sz="4" w:space="0" w:color="auto"/>
              <w:bottom w:val="single" w:sz="4" w:space="0" w:color="auto"/>
              <w:right w:val="single" w:sz="12" w:space="0" w:color="auto"/>
            </w:tcBorders>
            <w:noWrap/>
            <w:tcMar>
              <w:top w:w="15" w:type="dxa"/>
              <w:left w:w="15" w:type="dxa"/>
              <w:bottom w:w="0" w:type="dxa"/>
              <w:right w:w="15" w:type="dxa"/>
            </w:tcMar>
            <w:vAlign w:val="center"/>
          </w:tcPr>
          <w:p w14:paraId="4EC2AD2B" w14:textId="77777777" w:rsidR="00BC1DA8" w:rsidRDefault="00BC1DA8" w:rsidP="003B4098">
            <w:pPr>
              <w:jc w:val="center"/>
              <w:rPr>
                <w:rFonts w:ascii="ＭＳ 明朝" w:hAnsi="ＭＳ 明朝" w:cs="Arial Unicode MS"/>
                <w:sz w:val="20"/>
              </w:rPr>
            </w:pPr>
            <w:r>
              <w:rPr>
                <w:rFonts w:ascii="ＭＳ 明朝" w:hAnsi="ＭＳ 明朝" w:hint="eastAsia"/>
                <w:sz w:val="20"/>
              </w:rPr>
              <w:t>第一希望指導教員名</w:t>
            </w:r>
          </w:p>
        </w:tc>
      </w:tr>
      <w:tr w:rsidR="00BC1DA8" w14:paraId="305C03B6" w14:textId="77777777" w:rsidTr="00D40E0E">
        <w:trPr>
          <w:trHeight w:val="825"/>
        </w:trPr>
        <w:tc>
          <w:tcPr>
            <w:tcW w:w="1623" w:type="dxa"/>
            <w:tcBorders>
              <w:top w:val="dashSmallGap" w:sz="4" w:space="0" w:color="auto"/>
              <w:left w:val="single" w:sz="12" w:space="0" w:color="auto"/>
              <w:right w:val="single" w:sz="4" w:space="0" w:color="auto"/>
            </w:tcBorders>
            <w:noWrap/>
            <w:tcMar>
              <w:top w:w="15" w:type="dxa"/>
              <w:left w:w="15" w:type="dxa"/>
              <w:bottom w:w="0" w:type="dxa"/>
              <w:right w:w="15" w:type="dxa"/>
            </w:tcMar>
            <w:vAlign w:val="center"/>
          </w:tcPr>
          <w:p w14:paraId="73230589" w14:textId="77777777" w:rsidR="00BC1DA8" w:rsidRDefault="00BC1DA8" w:rsidP="003B4098">
            <w:pPr>
              <w:jc w:val="center"/>
              <w:rPr>
                <w:rFonts w:ascii="ＭＳ 明朝" w:hAnsi="ＭＳ 明朝"/>
                <w:sz w:val="20"/>
              </w:rPr>
            </w:pPr>
            <w:r>
              <w:rPr>
                <w:rFonts w:ascii="ＭＳ 明朝" w:hAnsi="ＭＳ 明朝" w:hint="eastAsia"/>
                <w:sz w:val="20"/>
              </w:rPr>
              <w:t>氏　名</w:t>
            </w:r>
          </w:p>
        </w:tc>
        <w:tc>
          <w:tcPr>
            <w:tcW w:w="5226" w:type="dxa"/>
            <w:gridSpan w:val="2"/>
            <w:tcBorders>
              <w:top w:val="dashSmallGap" w:sz="4" w:space="0" w:color="auto"/>
              <w:left w:val="nil"/>
              <w:right w:val="single" w:sz="4" w:space="0" w:color="000000"/>
            </w:tcBorders>
            <w:noWrap/>
            <w:tcMar>
              <w:top w:w="15" w:type="dxa"/>
              <w:left w:w="15" w:type="dxa"/>
              <w:bottom w:w="0" w:type="dxa"/>
              <w:right w:w="15" w:type="dxa"/>
            </w:tcMar>
            <w:vAlign w:val="center"/>
          </w:tcPr>
          <w:p w14:paraId="219846D7" w14:textId="77777777" w:rsidR="00BC1DA8" w:rsidRPr="007E0548" w:rsidRDefault="0098106C" w:rsidP="003B4098">
            <w:pPr>
              <w:jc w:val="center"/>
              <w:rPr>
                <w:rFonts w:ascii="ＭＳ 明朝" w:hAnsi="ＭＳ 明朝"/>
                <w:szCs w:val="21"/>
              </w:rPr>
            </w:pPr>
            <w:r w:rsidRPr="007E0548">
              <w:rPr>
                <w:rFonts w:ascii="ＭＳ 明朝" w:hAnsi="ＭＳ 明朝" w:hint="eastAsia"/>
                <w:szCs w:val="21"/>
              </w:rPr>
              <w:t>春日裕次</w:t>
            </w:r>
          </w:p>
        </w:tc>
        <w:tc>
          <w:tcPr>
            <w:tcW w:w="3089" w:type="dxa"/>
            <w:gridSpan w:val="2"/>
            <w:tcBorders>
              <w:top w:val="single" w:sz="4" w:space="0" w:color="auto"/>
              <w:left w:val="single" w:sz="4" w:space="0" w:color="auto"/>
              <w:right w:val="single" w:sz="12" w:space="0" w:color="auto"/>
            </w:tcBorders>
            <w:noWrap/>
            <w:tcMar>
              <w:top w:w="15" w:type="dxa"/>
              <w:left w:w="15" w:type="dxa"/>
              <w:bottom w:w="0" w:type="dxa"/>
              <w:right w:w="15" w:type="dxa"/>
            </w:tcMar>
            <w:vAlign w:val="center"/>
          </w:tcPr>
          <w:p w14:paraId="69E27980" w14:textId="77777777" w:rsidR="0098106C" w:rsidRPr="007E0548" w:rsidRDefault="0098106C" w:rsidP="0098106C">
            <w:pPr>
              <w:jc w:val="center"/>
              <w:rPr>
                <w:rFonts w:ascii="ＭＳ 明朝" w:hAnsi="ＭＳ 明朝"/>
                <w:szCs w:val="21"/>
              </w:rPr>
            </w:pPr>
            <w:r w:rsidRPr="007E0548">
              <w:rPr>
                <w:rFonts w:ascii="ＭＳ 明朝" w:hAnsi="ＭＳ 明朝"/>
                <w:szCs w:val="21"/>
              </w:rPr>
              <w:t>森勢将雅</w:t>
            </w:r>
          </w:p>
        </w:tc>
      </w:tr>
      <w:tr w:rsidR="00BC1DA8" w14:paraId="5D8A5247" w14:textId="77777777" w:rsidTr="00D40E0E">
        <w:trPr>
          <w:trHeight w:val="11863"/>
        </w:trPr>
        <w:tc>
          <w:tcPr>
            <w:tcW w:w="9938" w:type="dxa"/>
            <w:gridSpan w:val="5"/>
            <w:tcBorders>
              <w:top w:val="single" w:sz="8" w:space="0" w:color="auto"/>
              <w:left w:val="single" w:sz="12" w:space="0" w:color="auto"/>
              <w:bottom w:val="single" w:sz="12" w:space="0" w:color="auto"/>
              <w:right w:val="single" w:sz="12" w:space="0" w:color="auto"/>
            </w:tcBorders>
            <w:noWrap/>
            <w:tcMar>
              <w:top w:w="15" w:type="dxa"/>
              <w:left w:w="15" w:type="dxa"/>
              <w:bottom w:w="0" w:type="dxa"/>
              <w:right w:w="15" w:type="dxa"/>
            </w:tcMar>
            <w:vAlign w:val="center"/>
          </w:tcPr>
          <w:p w14:paraId="55071949" w14:textId="77777777" w:rsidR="00E937CB" w:rsidRPr="00AD06A5" w:rsidRDefault="00B63B09" w:rsidP="00AD06A5">
            <w:pPr>
              <w:pStyle w:val="a7"/>
              <w:numPr>
                <w:ilvl w:val="0"/>
                <w:numId w:val="2"/>
              </w:numPr>
              <w:spacing w:before="80" w:after="20" w:line="276" w:lineRule="auto"/>
              <w:ind w:leftChars="0"/>
              <w:rPr>
                <w:b/>
                <w:bCs/>
                <w:szCs w:val="21"/>
              </w:rPr>
            </w:pPr>
            <w:r w:rsidRPr="00AD06A5">
              <w:rPr>
                <w:rFonts w:hint="eastAsia"/>
                <w:b/>
                <w:bCs/>
              </w:rPr>
              <w:t>学部での成果</w:t>
            </w:r>
          </w:p>
          <w:p w14:paraId="0C61D9E4" w14:textId="77777777" w:rsidR="00E937CB" w:rsidRDefault="00000000">
            <w:pPr>
              <w:spacing w:after="40" w:line="276" w:lineRule="auto"/>
              <w:ind w:left="540" w:hanging="180"/>
              <w:rPr>
                <w:szCs w:val="21"/>
              </w:rPr>
            </w:pPr>
            <w:r>
              <w:rPr>
                <w:szCs w:val="21"/>
              </w:rPr>
              <w:t>・喉マイク音声に気導マイク向けの音声強調モデルを適用すると，音声品質指標（明瞭度・音質）が改善するにもかかわらず自動音声認識の文字誤り率（</w:t>
            </w:r>
            <w:r>
              <w:rPr>
                <w:szCs w:val="21"/>
              </w:rPr>
              <w:t>character error rate; CER</w:t>
            </w:r>
            <w:r>
              <w:rPr>
                <w:szCs w:val="21"/>
              </w:rPr>
              <w:t>）が全</w:t>
            </w:r>
            <w:r>
              <w:rPr>
                <w:szCs w:val="21"/>
              </w:rPr>
              <w:t>34</w:t>
            </w:r>
            <w:r>
              <w:rPr>
                <w:szCs w:val="21"/>
              </w:rPr>
              <w:t>条件で悪化することを実験的に確認し，スペクトル分析により機構を解明した．</w:t>
            </w:r>
          </w:p>
          <w:p w14:paraId="20F0C789" w14:textId="77777777" w:rsidR="00E937CB" w:rsidRDefault="00000000">
            <w:pPr>
              <w:spacing w:after="40" w:line="276" w:lineRule="auto"/>
              <w:ind w:left="540" w:hanging="180"/>
              <w:rPr>
                <w:szCs w:val="21"/>
              </w:rPr>
            </w:pPr>
            <w:r>
              <w:rPr>
                <w:szCs w:val="21"/>
              </w:rPr>
              <w:t>・自動音声認識モデルを喉マイク音声でファインチューニングすることで</w:t>
            </w:r>
            <w:r>
              <w:rPr>
                <w:szCs w:val="21"/>
              </w:rPr>
              <w:t>CER</w:t>
            </w:r>
            <w:r>
              <w:rPr>
                <w:szCs w:val="21"/>
              </w:rPr>
              <w:t>が</w:t>
            </w:r>
            <w:r>
              <w:rPr>
                <w:szCs w:val="21"/>
              </w:rPr>
              <w:t>72%</w:t>
            </w:r>
            <w:r>
              <w:rPr>
                <w:szCs w:val="21"/>
              </w:rPr>
              <w:t>改善すること，また全パラメータの</w:t>
            </w:r>
            <w:r>
              <w:rPr>
                <w:szCs w:val="21"/>
              </w:rPr>
              <w:t>0.5%</w:t>
            </w:r>
            <w:r>
              <w:rPr>
                <w:szCs w:val="21"/>
              </w:rPr>
              <w:t>のみを学習する軽量適応手法でも同等の精度が達成できることを実験的に示した．</w:t>
            </w:r>
          </w:p>
          <w:p w14:paraId="5023A617" w14:textId="77777777" w:rsidR="00A06E29" w:rsidRDefault="00A06E29">
            <w:pPr>
              <w:spacing w:after="20"/>
              <w:ind w:left="540" w:hanging="180"/>
              <w:rPr>
                <w:szCs w:val="21"/>
              </w:rPr>
            </w:pPr>
          </w:p>
          <w:p w14:paraId="02A79999" w14:textId="77777777" w:rsidR="00977DE1" w:rsidRPr="0000312B" w:rsidRDefault="00A06E29" w:rsidP="0000312B">
            <w:pPr>
              <w:pStyle w:val="a7"/>
              <w:numPr>
                <w:ilvl w:val="0"/>
                <w:numId w:val="2"/>
              </w:numPr>
              <w:spacing w:before="80" w:after="20" w:line="276" w:lineRule="auto"/>
              <w:ind w:leftChars="0"/>
              <w:rPr>
                <w:b/>
                <w:bCs/>
                <w:szCs w:val="21"/>
              </w:rPr>
            </w:pPr>
            <w:r w:rsidRPr="00F5551E">
              <w:rPr>
                <w:rFonts w:hint="eastAsia"/>
                <w:b/>
                <w:bCs/>
              </w:rPr>
              <w:t>研究計画</w:t>
            </w:r>
          </w:p>
          <w:p w14:paraId="72BC42DE" w14:textId="77777777" w:rsidR="002145B6" w:rsidRDefault="004F4DBE" w:rsidP="002F6346">
            <w:pPr>
              <w:spacing w:after="40" w:line="276" w:lineRule="auto"/>
              <w:jc w:val="center"/>
              <w:rPr>
                <w:b/>
                <w:bCs/>
                <w:szCs w:val="21"/>
              </w:rPr>
            </w:pPr>
            <w:r>
              <w:t>テーマ：喉マイクの自動音声認識における音声強調パイプラインとモデル適応の比較・効果解析</w:t>
            </w:r>
          </w:p>
          <w:p w14:paraId="3B5E3902" w14:textId="77777777" w:rsidR="00E937CB" w:rsidRPr="00B951A9" w:rsidRDefault="002563AF" w:rsidP="00476711">
            <w:pPr>
              <w:spacing w:before="80" w:after="20" w:line="276" w:lineRule="auto"/>
              <w:ind w:firstLineChars="100" w:firstLine="211"/>
              <w:rPr>
                <w:b/>
                <w:bCs/>
                <w:szCs w:val="21"/>
              </w:rPr>
            </w:pPr>
            <w:r w:rsidRPr="00B951A9">
              <w:rPr>
                <w:rFonts w:hint="eastAsia"/>
                <w:b/>
                <w:bCs/>
              </w:rPr>
              <w:t>背景・目的</w:t>
            </w:r>
          </w:p>
          <w:p w14:paraId="28BDE3F6" w14:textId="77777777" w:rsidR="00467085" w:rsidRDefault="00000000" w:rsidP="0053475E">
            <w:pPr>
              <w:spacing w:after="40" w:line="276" w:lineRule="auto"/>
              <w:ind w:left="180" w:firstLineChars="100" w:firstLine="210"/>
              <w:rPr>
                <w:szCs w:val="21"/>
              </w:rPr>
            </w:pPr>
            <w:r>
              <w:rPr>
                <w:szCs w:val="21"/>
              </w:rPr>
              <w:t>骨伝導マイクとも呼ばれる喉マイクは，外部騒音を構造的に遮断できるため軍・警察・消防など気導マイクが使用不能な高騒音環境での音声通信に活用されている．一方，骨伝導経路の物理的特性により</w:t>
            </w:r>
            <w:r>
              <w:rPr>
                <w:szCs w:val="21"/>
              </w:rPr>
              <w:t>2</w:t>
            </w:r>
            <w:r>
              <w:rPr>
                <w:szCs w:val="21"/>
              </w:rPr>
              <w:t>〜</w:t>
            </w:r>
            <w:r>
              <w:rPr>
                <w:szCs w:val="21"/>
              </w:rPr>
              <w:t>3 kHz</w:t>
            </w:r>
            <w:r>
              <w:rPr>
                <w:szCs w:val="21"/>
              </w:rPr>
              <w:t>以上の高周波成分が大幅に減衰するため，気導マイク音声を前提とした汎用の自動音声認識モデルでは認識精度が著しく低下するという課題がある．この問題への対処として「音声強調パイプライン」と「自動音声認識モデル適応」の二つのアプローチが存在するが，気導マイクを対象とした先行研究</w:t>
            </w:r>
            <w:r>
              <w:rPr>
                <w:szCs w:val="21"/>
              </w:rPr>
              <w:t>[1][2]</w:t>
            </w:r>
            <w:r>
              <w:rPr>
                <w:szCs w:val="21"/>
              </w:rPr>
              <w:t>では音声強調による音声品質の改善が認識精度向上に直結しないことが報告されている．そこで，本研究では，喉マイクにおいて同様の現象が生じるか，またどちらのアプローチがより有効かを検証する．さらになぜそのような効果差が生じるかを体系的に明らかにし，その知見から喉マイク向け音声処理の設計原則を導出する．</w:t>
            </w:r>
          </w:p>
          <w:p w14:paraId="17DF0CDE" w14:textId="77777777" w:rsidR="00972D13" w:rsidRPr="00467085" w:rsidRDefault="00972D13" w:rsidP="0053475E">
            <w:pPr>
              <w:spacing w:after="20"/>
              <w:ind w:left="180" w:firstLineChars="100" w:firstLine="210"/>
              <w:rPr>
                <w:szCs w:val="21"/>
              </w:rPr>
            </w:pPr>
          </w:p>
          <w:p w14:paraId="62FD5279" w14:textId="77777777" w:rsidR="00C91855" w:rsidRPr="001935FB" w:rsidRDefault="00C91855" w:rsidP="00476711">
            <w:pPr>
              <w:spacing w:before="80" w:after="20" w:line="276" w:lineRule="auto"/>
              <w:ind w:firstLineChars="100" w:firstLine="211"/>
              <w:rPr>
                <w:rFonts w:ascii="ＭＳ 明朝" w:hAnsi="ＭＳ 明朝"/>
                <w:b/>
                <w:szCs w:val="21"/>
              </w:rPr>
            </w:pPr>
            <w:r w:rsidRPr="001935FB">
              <w:rPr>
                <w:rFonts w:ascii="ＭＳ 明朝" w:hAnsi="ＭＳ 明朝" w:hint="eastAsia"/>
                <w:b/>
              </w:rPr>
              <w:t>現在までに行った実験</w:t>
            </w:r>
          </w:p>
          <w:p w14:paraId="2B51E425" w14:textId="77777777" w:rsidR="00E937CB" w:rsidRDefault="00000000">
            <w:pPr>
              <w:spacing w:after="20" w:line="276" w:lineRule="auto"/>
              <w:ind w:left="180"/>
              <w:rPr>
                <w:szCs w:val="21"/>
              </w:rPr>
            </w:pPr>
            <w:r>
              <w:t>実験</w:t>
            </w:r>
            <w:r>
              <w:t>1</w:t>
            </w:r>
            <w:r>
              <w:t>：音声強調パイプラインの評価</w:t>
            </w:r>
          </w:p>
          <w:p w14:paraId="7FAA2067" w14:textId="05407813" w:rsidR="00E937CB" w:rsidRDefault="00000000" w:rsidP="00CE42B2">
            <w:pPr>
              <w:spacing w:after="40" w:line="276" w:lineRule="auto"/>
              <w:ind w:left="180" w:firstLineChars="100" w:firstLine="210"/>
              <w:rPr>
                <w:szCs w:val="21"/>
              </w:rPr>
            </w:pPr>
            <w:r>
              <w:rPr>
                <w:szCs w:val="21"/>
              </w:rPr>
              <w:t>喉マイクで収録した韓国語音声データセット</w:t>
            </w:r>
            <w:r>
              <w:rPr>
                <w:szCs w:val="21"/>
              </w:rPr>
              <w:t>TAPS (Throat and Acoustic Pairing Speech) [3]</w:t>
            </w:r>
            <w:r>
              <w:rPr>
                <w:szCs w:val="21"/>
              </w:rPr>
              <w:t>のテストセットに対し，デジタル信号処理に基づくフィルタリングおよび気導マイク向けニューラルネットワーク型音声強調モデル</w:t>
            </w:r>
            <w:r>
              <w:rPr>
                <w:szCs w:val="21"/>
              </w:rPr>
              <w:t>GTCRN</w:t>
            </w:r>
            <w:r>
              <w:rPr>
                <w:szCs w:val="21"/>
              </w:rPr>
              <w:t>を</w:t>
            </w:r>
            <w:r>
              <w:rPr>
                <w:szCs w:val="21"/>
              </w:rPr>
              <w:t>34</w:t>
            </w:r>
            <w:r>
              <w:rPr>
                <w:szCs w:val="21"/>
              </w:rPr>
              <w:t>条件で適用し，</w:t>
            </w:r>
            <w:r>
              <w:rPr>
                <w:szCs w:val="21"/>
              </w:rPr>
              <w:t>Whisper [4]</w:t>
            </w:r>
            <w:r>
              <w:rPr>
                <w:szCs w:val="21"/>
              </w:rPr>
              <w:t>による音声認識実験を行った．</w:t>
            </w:r>
            <w:r w:rsidR="009D169A">
              <w:rPr>
                <w:rFonts w:hint="eastAsia"/>
                <w:szCs w:val="21"/>
              </w:rPr>
              <w:t>その結果</w:t>
            </w:r>
            <w:r w:rsidR="00506407">
              <w:rPr>
                <w:szCs w:val="21"/>
              </w:rPr>
              <w:t xml:space="preserve">, </w:t>
            </w:r>
            <w:r>
              <w:rPr>
                <w:szCs w:val="21"/>
              </w:rPr>
              <w:t>気導マイク向けモデルを適用した全</w:t>
            </w:r>
            <w:r>
              <w:rPr>
                <w:szCs w:val="21"/>
              </w:rPr>
              <w:t>34</w:t>
            </w:r>
            <w:r>
              <w:rPr>
                <w:szCs w:val="21"/>
              </w:rPr>
              <w:t>条件で</w:t>
            </w:r>
            <w:r>
              <w:rPr>
                <w:szCs w:val="21"/>
              </w:rPr>
              <w:t>CER</w:t>
            </w:r>
            <w:r>
              <w:rPr>
                <w:szCs w:val="21"/>
              </w:rPr>
              <w:t>が悪化することを確認した．</w:t>
            </w:r>
            <w:r w:rsidR="009D169A">
              <w:rPr>
                <w:rFonts w:hint="eastAsia"/>
                <w:szCs w:val="21"/>
              </w:rPr>
              <w:t>さらに、</w:t>
            </w:r>
            <w:r>
              <w:rPr>
                <w:szCs w:val="21"/>
              </w:rPr>
              <w:t>スペクトル分析により，モデルがフォルマント帯域のエネルギーを削減し低域にアーティファクトを付加していることを実測した．別途，喉マイク音声で学習されたドメイン適合型モデル（</w:t>
            </w:r>
            <w:r>
              <w:rPr>
                <w:szCs w:val="21"/>
              </w:rPr>
              <w:t>SE-Conformer</w:t>
            </w:r>
            <w:r>
              <w:rPr>
                <w:szCs w:val="21"/>
              </w:rPr>
              <w:t>等</w:t>
            </w:r>
            <w:r>
              <w:rPr>
                <w:szCs w:val="21"/>
              </w:rPr>
              <w:t xml:space="preserve"> [3]</w:t>
            </w:r>
            <w:r>
              <w:rPr>
                <w:szCs w:val="21"/>
              </w:rPr>
              <w:t>）との比較では，改善が見られた（</w:t>
            </w:r>
            <w:r>
              <w:rPr>
                <w:szCs w:val="21"/>
              </w:rPr>
              <w:t>CER 0.47→0.25</w:t>
            </w:r>
            <w:r>
              <w:rPr>
                <w:szCs w:val="21"/>
              </w:rPr>
              <w:t>）ものの，依然として上限があることを確認した．</w:t>
            </w:r>
          </w:p>
          <w:p w14:paraId="3CA9FBC4" w14:textId="77777777" w:rsidR="00E937CB" w:rsidRDefault="00000000">
            <w:pPr>
              <w:spacing w:after="20" w:line="276" w:lineRule="auto"/>
              <w:ind w:left="180"/>
              <w:rPr>
                <w:szCs w:val="21"/>
              </w:rPr>
            </w:pPr>
            <w:r>
              <w:t>実験</w:t>
            </w:r>
            <w:r>
              <w:t>2</w:t>
            </w:r>
            <w:r>
              <w:t>：自動音声認識モデル適応の評価</w:t>
            </w:r>
          </w:p>
          <w:p w14:paraId="602C5AB4" w14:textId="4D0B00DF" w:rsidR="00E937CB" w:rsidRDefault="00000000" w:rsidP="00CE076E">
            <w:pPr>
              <w:spacing w:after="40" w:line="276" w:lineRule="auto"/>
              <w:ind w:left="180" w:firstLineChars="100" w:firstLine="210"/>
              <w:rPr>
                <w:szCs w:val="21"/>
              </w:rPr>
            </w:pPr>
            <w:r>
              <w:rPr>
                <w:szCs w:val="21"/>
              </w:rPr>
              <w:t>Whisper small [4]</w:t>
            </w:r>
            <w:r>
              <w:rPr>
                <w:szCs w:val="21"/>
              </w:rPr>
              <w:t>を喉マイク音声でファインチューニングすることで</w:t>
            </w:r>
            <w:r>
              <w:rPr>
                <w:szCs w:val="21"/>
              </w:rPr>
              <w:t>CER</w:t>
            </w:r>
            <w:r>
              <w:rPr>
                <w:szCs w:val="21"/>
              </w:rPr>
              <w:t>が</w:t>
            </w:r>
            <w:r>
              <w:rPr>
                <w:szCs w:val="21"/>
              </w:rPr>
              <w:t>72%</w:t>
            </w:r>
            <w:r>
              <w:rPr>
                <w:szCs w:val="21"/>
              </w:rPr>
              <w:t>改善した（</w:t>
            </w:r>
            <w:r>
              <w:rPr>
                <w:szCs w:val="21"/>
              </w:rPr>
              <w:t>0.54→0.15</w:t>
            </w:r>
            <w:r>
              <w:rPr>
                <w:szCs w:val="21"/>
              </w:rPr>
              <w:t>）．また全パラメータの</w:t>
            </w:r>
            <w:r>
              <w:rPr>
                <w:szCs w:val="21"/>
              </w:rPr>
              <w:t>0.5%</w:t>
            </w:r>
            <w:r>
              <w:rPr>
                <w:szCs w:val="21"/>
              </w:rPr>
              <w:t>のみを学習する</w:t>
            </w:r>
            <w:r>
              <w:rPr>
                <w:szCs w:val="21"/>
              </w:rPr>
              <w:t>Encoder-only Adapter [5]</w:t>
            </w:r>
            <w:r>
              <w:rPr>
                <w:szCs w:val="21"/>
              </w:rPr>
              <w:t>でも同等の精度（</w:t>
            </w:r>
            <w:r>
              <w:rPr>
                <w:szCs w:val="21"/>
              </w:rPr>
              <w:t>0.15</w:t>
            </w:r>
            <w:r>
              <w:rPr>
                <w:szCs w:val="21"/>
              </w:rPr>
              <w:t>）を達成し，軽量適応手法の有効性を確認した．</w:t>
            </w:r>
          </w:p>
          <w:p w14:paraId="20A096B1" w14:textId="77777777" w:rsidR="00E937CB" w:rsidRPr="00A045B5" w:rsidRDefault="007840B2" w:rsidP="00476711">
            <w:pPr>
              <w:spacing w:before="80" w:after="20" w:line="276" w:lineRule="auto"/>
              <w:ind w:firstLineChars="100" w:firstLine="211"/>
              <w:rPr>
                <w:b/>
                <w:bCs/>
                <w:szCs w:val="21"/>
              </w:rPr>
            </w:pPr>
            <w:r w:rsidRPr="00A045B5">
              <w:rPr>
                <w:b/>
                <w:bCs/>
              </w:rPr>
              <w:t>今後の研究計画</w:t>
            </w:r>
          </w:p>
          <w:p w14:paraId="4BC1BBF9" w14:textId="77777777" w:rsidR="00E937CB" w:rsidRDefault="00000000" w:rsidP="00290915">
            <w:pPr>
              <w:spacing w:after="40" w:line="276" w:lineRule="auto"/>
              <w:ind w:left="180" w:firstLineChars="100" w:firstLine="210"/>
              <w:rPr>
                <w:szCs w:val="21"/>
              </w:rPr>
            </w:pPr>
            <w:r>
              <w:rPr>
                <w:szCs w:val="21"/>
              </w:rPr>
              <w:t>学部での予備実験を通じて，喉マイク向け音声強調と自動音声認識モデル適応を同一評価指標・同一</w:t>
            </w:r>
            <w:r>
              <w:rPr>
                <w:szCs w:val="21"/>
              </w:rPr>
              <w:lastRenderedPageBreak/>
              <w:t>テストセット上で比較した結果，適切なドメインの音声強調であっても認識精度の改善には上限があり，ファインチューニング単体の精度（</w:t>
            </w:r>
            <w:r>
              <w:rPr>
                <w:szCs w:val="21"/>
              </w:rPr>
              <w:t>CER 0.15</w:t>
            </w:r>
            <w:r>
              <w:rPr>
                <w:szCs w:val="21"/>
              </w:rPr>
              <w:t>）が最良となることを定量的に確認した．本研究では，この比較とスペクトル分析による効果差の機構解明をあわせ，喉マイク向け音声処理の設計原則として論文にまとめることを計画している．</w:t>
            </w:r>
          </w:p>
          <w:p w14:paraId="625517B9" w14:textId="77777777" w:rsidR="00E937CB" w:rsidRDefault="00000000">
            <w:pPr>
              <w:spacing w:after="20"/>
              <w:jc w:val="center"/>
            </w:pPr>
            <w:r>
              <w:rPr>
                <w:noProof/>
              </w:rPr>
              <w:drawing>
                <wp:inline distT="0" distB="0" distL="0" distR="0" wp14:anchorId="79AB1F33" wp14:editId="34D8DA52">
                  <wp:extent cx="4389120" cy="2861715"/>
                  <wp:effectExtent l="0" t="0" r="0" b="0"/>
                  <wp:docPr id="2076881427" name="Picture 2076881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_plan_framework.png"/>
                          <pic:cNvPicPr/>
                        </pic:nvPicPr>
                        <pic:blipFill>
                          <a:blip r:embed="rId7"/>
                          <a:stretch>
                            <a:fillRect/>
                          </a:stretch>
                        </pic:blipFill>
                        <pic:spPr>
                          <a:xfrm>
                            <a:off x="0" y="0"/>
                            <a:ext cx="4389120" cy="2861715"/>
                          </a:xfrm>
                          <a:prstGeom prst="rect">
                            <a:avLst/>
                          </a:prstGeom>
                        </pic:spPr>
                      </pic:pic>
                    </a:graphicData>
                  </a:graphic>
                </wp:inline>
              </w:drawing>
            </w:r>
          </w:p>
          <w:p w14:paraId="757BECFE" w14:textId="77777777" w:rsidR="00E937CB" w:rsidRPr="00D91D91" w:rsidRDefault="00000000">
            <w:pPr>
              <w:spacing w:after="20" w:line="276" w:lineRule="auto"/>
              <w:jc w:val="center"/>
              <w:rPr>
                <w:b/>
                <w:bCs/>
                <w:iCs/>
                <w:szCs w:val="21"/>
              </w:rPr>
            </w:pPr>
            <w:r>
              <w:rPr>
                <w:szCs w:val="21"/>
              </w:rPr>
              <w:t>図</w:t>
            </w:r>
            <w:r>
              <w:rPr>
                <w:szCs w:val="21"/>
              </w:rPr>
              <w:t xml:space="preserve">. </w:t>
            </w:r>
            <w:r>
              <w:rPr>
                <w:szCs w:val="21"/>
              </w:rPr>
              <w:t>研究フレームワーク</w:t>
            </w:r>
          </w:p>
          <w:p w14:paraId="2E3FD5D8" w14:textId="77777777" w:rsidR="00583088" w:rsidRDefault="00583088">
            <w:pPr>
              <w:spacing w:after="20"/>
              <w:jc w:val="center"/>
              <w:rPr>
                <w:szCs w:val="21"/>
              </w:rPr>
            </w:pPr>
          </w:p>
          <w:p w14:paraId="61FB85D3" w14:textId="14E283A5" w:rsidR="00E937CB" w:rsidRDefault="002563AF" w:rsidP="00496BAA">
            <w:pPr>
              <w:spacing w:after="60" w:line="276" w:lineRule="auto"/>
              <w:ind w:left="180" w:firstLineChars="100" w:firstLine="210"/>
              <w:rPr>
                <w:szCs w:val="21"/>
              </w:rPr>
            </w:pPr>
            <w:r>
              <w:rPr>
                <w:szCs w:val="21"/>
              </w:rPr>
              <w:t>上記の比較・分析を通じて，モデル適応の有効性が喉マイク音声とテキストのペアデータを前提とすることが浮き彫りになる．高騒音現場など収録が困難な実環境では，このペアデータの取得自体が実用化への障壁となる．この制約の緩和</w:t>
            </w:r>
            <w:r w:rsidR="00947FC4">
              <w:rPr>
                <w:szCs w:val="21"/>
              </w:rPr>
              <w:t xml:space="preserve">, </w:t>
            </w:r>
            <w:r>
              <w:rPr>
                <w:szCs w:val="21"/>
              </w:rPr>
              <w:t>すなわち少量データまたはラベルなし音声での効果的な適応が喉マイク音声認識の実用化における課題として残される．</w:t>
            </w:r>
          </w:p>
          <w:p w14:paraId="0949DF00" w14:textId="77777777" w:rsidR="00E937CB" w:rsidRDefault="00000000" w:rsidP="00515141">
            <w:pPr>
              <w:spacing w:after="80" w:line="276" w:lineRule="auto"/>
              <w:ind w:left="180" w:firstLineChars="100" w:firstLine="210"/>
              <w:rPr>
                <w:szCs w:val="21"/>
              </w:rPr>
            </w:pPr>
            <w:r>
              <w:rPr>
                <w:szCs w:val="21"/>
              </w:rPr>
              <w:t>本研究により</w:t>
            </w:r>
            <w:r>
              <w:rPr>
                <w:szCs w:val="21"/>
              </w:rPr>
              <w:t>3</w:t>
            </w:r>
            <w:r>
              <w:rPr>
                <w:szCs w:val="21"/>
              </w:rPr>
              <w:t>点の学術的貢献が期待される．</w:t>
            </w:r>
            <w:r>
              <w:rPr>
                <w:szCs w:val="21"/>
              </w:rPr>
              <w:t>①</w:t>
            </w:r>
            <w:r>
              <w:rPr>
                <w:szCs w:val="21"/>
              </w:rPr>
              <w:t>音声強調パイプラインと自動音声認識モデル適応を同一評価指標・同一テストセット上で比較し，喉マイクの自動音声認識における各アプローチの有効性と限界を実証的に示す．</w:t>
            </w:r>
            <w:r>
              <w:rPr>
                <w:szCs w:val="21"/>
              </w:rPr>
              <w:t>②</w:t>
            </w:r>
            <w:r>
              <w:rPr>
                <w:szCs w:val="21"/>
              </w:rPr>
              <w:t>音声強調による音声品質改善が認識精度向上に直結しない現象をスペクトル分析で機構解明し，喉マイクの物理的特性との関係を明らかにする．</w:t>
            </w:r>
            <w:r>
              <w:rPr>
                <w:szCs w:val="21"/>
              </w:rPr>
              <w:t>③</w:t>
            </w:r>
            <w:r>
              <w:rPr>
                <w:szCs w:val="21"/>
              </w:rPr>
              <w:t>比較・分析から得られる設計原則を明示するとともに，モデル適応のペアデータ依存性という実用化の課題を特定する．</w:t>
            </w:r>
          </w:p>
          <w:p w14:paraId="71FCB353" w14:textId="77777777" w:rsidR="00E937CB" w:rsidRDefault="00000000" w:rsidP="000F1C11">
            <w:pPr>
              <w:pStyle w:val="a7"/>
              <w:numPr>
                <w:ilvl w:val="0"/>
                <w:numId w:val="2"/>
              </w:numPr>
              <w:spacing w:before="80" w:after="20" w:line="276" w:lineRule="auto"/>
              <w:ind w:leftChars="0"/>
              <w:rPr>
                <w:szCs w:val="21"/>
              </w:rPr>
            </w:pPr>
            <w:r w:rsidRPr="000F1C11">
              <w:rPr>
                <w:rFonts w:ascii="ＭＳ 明朝" w:hAnsi="ＭＳ 明朝"/>
                <w:b/>
              </w:rPr>
              <w:t>将来の志望進路</w:t>
            </w:r>
          </w:p>
          <w:p w14:paraId="06787D6D" w14:textId="77777777" w:rsidR="00E937CB" w:rsidRDefault="00000000" w:rsidP="00D45619">
            <w:pPr>
              <w:spacing w:after="40" w:line="276" w:lineRule="auto"/>
              <w:ind w:left="180" w:firstLineChars="100" w:firstLine="210"/>
              <w:rPr>
                <w:szCs w:val="21"/>
              </w:rPr>
            </w:pPr>
            <w:r>
              <w:rPr>
                <w:szCs w:val="21"/>
              </w:rPr>
              <w:t>本研究を通じて，問題設定から実装・評価・論文化まで一貫した研究開発プロセスを経験し，修了後は音声認識・音声処理分野の機械学習エンジニアとして</w:t>
            </w:r>
            <w:r>
              <w:rPr>
                <w:szCs w:val="21"/>
              </w:rPr>
              <w:t>Tech</w:t>
            </w:r>
            <w:r>
              <w:rPr>
                <w:szCs w:val="21"/>
              </w:rPr>
              <w:t>企業に就職し，軽量適応手法やドメイン適応の知見を音声</w:t>
            </w:r>
            <w:r>
              <w:rPr>
                <w:szCs w:val="21"/>
              </w:rPr>
              <w:t>AI</w:t>
            </w:r>
            <w:r>
              <w:rPr>
                <w:szCs w:val="21"/>
              </w:rPr>
              <w:t>製品の開発に活かすことを志望する．将来的には国際的な開発環境での活躍を目指す．</w:t>
            </w:r>
          </w:p>
          <w:p w14:paraId="57708541" w14:textId="77777777" w:rsidR="00E937CB" w:rsidRDefault="005D1B1B">
            <w:pPr>
              <w:spacing w:before="80" w:after="20" w:line="276" w:lineRule="auto"/>
              <w:rPr>
                <w:szCs w:val="21"/>
              </w:rPr>
            </w:pPr>
            <w:r>
              <w:rPr>
                <w:rFonts w:ascii="ＭＳ 明朝" w:hAnsi="ＭＳ 明朝"/>
                <w:b/>
              </w:rPr>
              <w:t>4</w:t>
            </w:r>
            <w:r w:rsidR="00A154DE">
              <w:rPr>
                <w:rFonts w:ascii="ＭＳ 明朝" w:hAnsi="ＭＳ 明朝"/>
                <w:b/>
              </w:rPr>
              <w:t xml:space="preserve">. </w:t>
            </w:r>
            <w:r>
              <w:rPr>
                <w:rFonts w:ascii="ＭＳ 明朝" w:hAnsi="ＭＳ 明朝"/>
                <w:b/>
              </w:rPr>
              <w:t>参考文献</w:t>
            </w:r>
          </w:p>
          <w:p w14:paraId="12B4F378" w14:textId="77777777" w:rsidR="00E937CB" w:rsidRDefault="00000000">
            <w:pPr>
              <w:spacing w:after="20" w:line="276" w:lineRule="auto"/>
              <w:ind w:left="540" w:hanging="360"/>
              <w:rPr>
                <w:szCs w:val="21"/>
              </w:rPr>
            </w:pPr>
            <w:r>
              <w:rPr>
                <w:szCs w:val="21"/>
              </w:rPr>
              <w:t>[1] T. Ochiai et al., “Rethinking processing distortions,” IEEE/ACM TASLP, vol. 32, pp. 4266–4281, 2024.</w:t>
            </w:r>
          </w:p>
          <w:p w14:paraId="42ED08CD" w14:textId="77777777" w:rsidR="00E937CB" w:rsidRDefault="00000000">
            <w:pPr>
              <w:spacing w:after="20" w:line="276" w:lineRule="auto"/>
              <w:ind w:left="540" w:hanging="360"/>
              <w:rPr>
                <w:szCs w:val="21"/>
              </w:rPr>
            </w:pPr>
            <w:r>
              <w:rPr>
                <w:szCs w:val="21"/>
              </w:rPr>
              <w:t xml:space="preserve">[2] C.O. </w:t>
            </w:r>
            <w:proofErr w:type="spellStart"/>
            <w:r>
              <w:rPr>
                <w:szCs w:val="21"/>
              </w:rPr>
              <w:t>Mawalim</w:t>
            </w:r>
            <w:proofErr w:type="spellEnd"/>
            <w:r>
              <w:rPr>
                <w:szCs w:val="21"/>
              </w:rPr>
              <w:t xml:space="preserve"> et al., “Are recent DL-based SE methods ready for real-world?” Proc. </w:t>
            </w:r>
            <w:proofErr w:type="spellStart"/>
            <w:r>
              <w:rPr>
                <w:szCs w:val="21"/>
              </w:rPr>
              <w:t>Interspeech</w:t>
            </w:r>
            <w:proofErr w:type="spellEnd"/>
            <w:r>
              <w:rPr>
                <w:szCs w:val="21"/>
              </w:rPr>
              <w:t>, 2024.</w:t>
            </w:r>
          </w:p>
          <w:p w14:paraId="1A7781E2" w14:textId="77777777" w:rsidR="00E937CB" w:rsidRDefault="00000000">
            <w:pPr>
              <w:spacing w:after="20" w:line="276" w:lineRule="auto"/>
              <w:ind w:left="540" w:hanging="360"/>
              <w:rPr>
                <w:szCs w:val="21"/>
              </w:rPr>
            </w:pPr>
            <w:r>
              <w:rPr>
                <w:szCs w:val="21"/>
              </w:rPr>
              <w:t>[3] Y. Kim et al., “TAPS: Throat and acoustic paired speech dataset for deep learning-based speech enhancement,” Scientific Data (Nature), 2026.</w:t>
            </w:r>
          </w:p>
          <w:p w14:paraId="75BE73AB" w14:textId="77777777" w:rsidR="00E937CB" w:rsidRDefault="00000000">
            <w:pPr>
              <w:spacing w:after="20" w:line="276" w:lineRule="auto"/>
              <w:ind w:left="540" w:hanging="360"/>
              <w:rPr>
                <w:szCs w:val="21"/>
              </w:rPr>
            </w:pPr>
            <w:r>
              <w:rPr>
                <w:szCs w:val="21"/>
              </w:rPr>
              <w:t>[4] A. Radford et al., “Robust speech recognition via large-scale weak supervision,” Proc. ICML, 2023.</w:t>
            </w:r>
          </w:p>
          <w:p w14:paraId="26686CA5" w14:textId="77777777" w:rsidR="00E937CB" w:rsidRDefault="00000000">
            <w:pPr>
              <w:spacing w:after="20" w:line="276" w:lineRule="auto"/>
              <w:ind w:left="540" w:hanging="360"/>
              <w:rPr>
                <w:szCs w:val="21"/>
              </w:rPr>
            </w:pPr>
            <w:r>
              <w:rPr>
                <w:szCs w:val="21"/>
              </w:rPr>
              <w:t xml:space="preserve">[5] N. </w:t>
            </w:r>
            <w:proofErr w:type="spellStart"/>
            <w:r>
              <w:rPr>
                <w:szCs w:val="21"/>
              </w:rPr>
              <w:t>Houlsby</w:t>
            </w:r>
            <w:proofErr w:type="spellEnd"/>
            <w:r>
              <w:rPr>
                <w:szCs w:val="21"/>
              </w:rPr>
              <w:t xml:space="preserve"> et al., “Parameter-efficient transfer learning for NLP,” Proc. ICML, 2019.</w:t>
            </w:r>
          </w:p>
        </w:tc>
      </w:tr>
    </w:tbl>
    <w:p w14:paraId="1E83569F" w14:textId="77777777" w:rsidR="00BC1DA8" w:rsidRPr="00D43D10" w:rsidRDefault="00D40E0E" w:rsidP="00BC1DA8">
      <w:pPr>
        <w:rPr>
          <w:vanish/>
        </w:rPr>
      </w:pPr>
      <w:r>
        <w:rPr>
          <w:rFonts w:ascii="ＭＳ 明朝" w:hAnsi="ＭＳ 明朝"/>
          <w:noProof/>
          <w:kern w:val="0"/>
          <w:sz w:val="20"/>
        </w:rPr>
        <w:lastRenderedPageBreak/>
        <mc:AlternateContent>
          <mc:Choice Requires="wps">
            <w:drawing>
              <wp:anchor distT="0" distB="0" distL="114300" distR="114300" simplePos="0" relativeHeight="251657216" behindDoc="0" locked="0" layoutInCell="1" allowOverlap="1" wp14:anchorId="47254403" wp14:editId="7BAEF610">
                <wp:simplePos x="0" y="0"/>
                <wp:positionH relativeFrom="column">
                  <wp:posOffset>-86360</wp:posOffset>
                </wp:positionH>
                <wp:positionV relativeFrom="paragraph">
                  <wp:posOffset>9428480</wp:posOffset>
                </wp:positionV>
                <wp:extent cx="3066415" cy="241935"/>
                <wp:effectExtent l="0" t="0" r="0" b="0"/>
                <wp:wrapSquare wrapText="bothSides"/>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6415" cy="241935"/>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38CFFB0A" w14:textId="77777777" w:rsidR="00BC1DA8" w:rsidRDefault="00BC1DA8" w:rsidP="00BC1DA8">
                            <w:pPr>
                              <w:rPr>
                                <w:sz w:val="18"/>
                              </w:rPr>
                            </w:pPr>
                            <w:r>
                              <w:rPr>
                                <w:rFonts w:hint="eastAsia"/>
                                <w:sz w:val="18"/>
                              </w:rPr>
                              <w:t>※自筆・ワープロ原稿印字または貼付ともに可。</w:t>
                            </w:r>
                          </w:p>
                          <w:p w14:paraId="1DDE8AA6" w14:textId="77777777" w:rsidR="00BC1DA8" w:rsidRDefault="00BC1DA8" w:rsidP="00BC1DA8">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254403" id="Text Box 3" o:spid="_x0000_s1028" type="#_x0000_t202" style="position:absolute;left:0;text-align:left;margin-left:-6.8pt;margin-top:742.4pt;width:241.45pt;height:19.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" filled="f" stroked="f">
                <v:textbox>
                  <w:txbxContent>
                    <w:p w14:paraId="7042BC35" w14:textId="77777777" w:rsidR="00BC1DA8" w:rsidRDefault="00BC1DA8" w:rsidP="00BC1DA8">
                      <w:pPr>
                        <w:rPr>
                          <w:sz w:val="18"/>
                        </w:rPr>
                      </w:pPr>
                      <w:r>
                        <w:rPr>
                          <w:rFonts w:hint="eastAsia"/>
                          <w:sz w:val="18"/>
                        </w:rPr>
                        <w:t>※自筆・ワープロ原稿印字または貼付ともに可。</w:t>
                      </w:r>
                    </w:p>
                    <w:p w14:paraId="4B3B2B19" w14:textId="77777777" w:rsidR="00BC1DA8" w:rsidRDefault="00BC1DA8" w:rsidP="00BC1DA8">
                      <w:pPr>
                        <w:rPr>
                          <w:sz w:val="18"/>
                        </w:rPr>
                      </w:pPr>
                    </w:p>
                  </w:txbxContent>
                </v:textbox>
                <w10:wrap type="square"/>
              </v:shape>
            </w:pict>
          </mc:Fallback>
        </mc:AlternateContent>
      </w:r>
    </w:p>
    <w:p w14:paraId="2F9EC9A9" w14:textId="77777777" w:rsidR="001D3EC9" w:rsidRDefault="001D3EC9" w:rsidP="00E9169E">
      <w:pPr>
        <w:spacing w:line="360" w:lineRule="auto"/>
      </w:pPr>
    </w:p>
    <w:sectPr w:rsidR="001D3EC9" w:rsidSect="003B5975">
      <w:pgSz w:w="11907" w:h="16840" w:code="9"/>
      <w:pgMar w:top="567" w:right="1020" w:bottom="794" w:left="1020" w:header="851" w:footer="992" w:gutter="0"/>
      <w:cols w:space="420"/>
      <w:docGrid w:linePitch="381" w:charSpace="392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48715" w14:textId="77777777" w:rsidR="005713CB" w:rsidRDefault="005713CB" w:rsidP="00D40E0E">
      <w:r>
        <w:separator/>
      </w:r>
    </w:p>
  </w:endnote>
  <w:endnote w:type="continuationSeparator" w:id="0">
    <w:p w14:paraId="6116BD07" w14:textId="77777777" w:rsidR="005713CB" w:rsidRDefault="005713CB" w:rsidP="00D40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Unicode MS">
    <w:panose1 w:val="020B0604020202020204"/>
    <w:charset w:val="4E"/>
    <w:family w:val="auto"/>
    <w:pitch w:val="variable"/>
    <w:sig w:usb0="F7FFAFFF" w:usb1="E9DFFFFF" w:usb2="0000003F" w:usb3="00000000" w:csb0="003F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EC892" w14:textId="77777777" w:rsidR="005713CB" w:rsidRDefault="005713CB" w:rsidP="00D40E0E">
      <w:r>
        <w:separator/>
      </w:r>
    </w:p>
  </w:footnote>
  <w:footnote w:type="continuationSeparator" w:id="0">
    <w:p w14:paraId="7B29BED3" w14:textId="77777777" w:rsidR="005713CB" w:rsidRDefault="005713CB" w:rsidP="00D40E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154DF"/>
    <w:multiLevelType w:val="hybridMultilevel"/>
    <w:tmpl w:val="174E7F2C"/>
    <w:lvl w:ilvl="0" w:tplc="EA4608AC">
      <w:start w:val="1"/>
      <w:numFmt w:val="aiueo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E2E2A59"/>
    <w:multiLevelType w:val="hybridMultilevel"/>
    <w:tmpl w:val="E3527BCE"/>
    <w:lvl w:ilvl="0" w:tplc="0882DA9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45779118">
    <w:abstractNumId w:val="0"/>
  </w:num>
  <w:num w:numId="2" w16cid:durableId="1330326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removePersonalInformation/>
  <w:removeDateAndTime/>
  <w:bordersDoNotSurroundHeader/>
  <w:bordersDoNotSurroundFooter/>
  <w:proofState w:spelling="clean" w:grammar="clean"/>
  <w:defaultTabStop w:val="960"/>
  <w:drawingGridVerticalSpacing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DA8"/>
    <w:rsid w:val="0000312B"/>
    <w:rsid w:val="00011EBB"/>
    <w:rsid w:val="00012A82"/>
    <w:rsid w:val="00015D70"/>
    <w:rsid w:val="00025726"/>
    <w:rsid w:val="00043AA6"/>
    <w:rsid w:val="00074B88"/>
    <w:rsid w:val="00076565"/>
    <w:rsid w:val="000A0D71"/>
    <w:rsid w:val="000B0C65"/>
    <w:rsid w:val="000C0611"/>
    <w:rsid w:val="000C22EB"/>
    <w:rsid w:val="000D505B"/>
    <w:rsid w:val="000E4D34"/>
    <w:rsid w:val="000F1C11"/>
    <w:rsid w:val="001414C4"/>
    <w:rsid w:val="00145A61"/>
    <w:rsid w:val="00182AD5"/>
    <w:rsid w:val="001935FB"/>
    <w:rsid w:val="001A5ABD"/>
    <w:rsid w:val="001D13A0"/>
    <w:rsid w:val="001D3EC9"/>
    <w:rsid w:val="001E30A6"/>
    <w:rsid w:val="001E5BB2"/>
    <w:rsid w:val="001F3AA9"/>
    <w:rsid w:val="001F7443"/>
    <w:rsid w:val="001F7C7E"/>
    <w:rsid w:val="00213C3A"/>
    <w:rsid w:val="002145B6"/>
    <w:rsid w:val="002414D4"/>
    <w:rsid w:val="002563AF"/>
    <w:rsid w:val="00290915"/>
    <w:rsid w:val="002A15DA"/>
    <w:rsid w:val="002A68E9"/>
    <w:rsid w:val="002F1445"/>
    <w:rsid w:val="002F6346"/>
    <w:rsid w:val="003261D7"/>
    <w:rsid w:val="00331FED"/>
    <w:rsid w:val="0035502A"/>
    <w:rsid w:val="0038457C"/>
    <w:rsid w:val="003A6E06"/>
    <w:rsid w:val="003D0688"/>
    <w:rsid w:val="003D73B4"/>
    <w:rsid w:val="003E0B59"/>
    <w:rsid w:val="003F5BF7"/>
    <w:rsid w:val="004034C7"/>
    <w:rsid w:val="00467085"/>
    <w:rsid w:val="00467795"/>
    <w:rsid w:val="0047045D"/>
    <w:rsid w:val="00476711"/>
    <w:rsid w:val="00484565"/>
    <w:rsid w:val="0049137F"/>
    <w:rsid w:val="004966E9"/>
    <w:rsid w:val="00496BAA"/>
    <w:rsid w:val="004A67BB"/>
    <w:rsid w:val="004F4DBE"/>
    <w:rsid w:val="00506407"/>
    <w:rsid w:val="00515141"/>
    <w:rsid w:val="00526830"/>
    <w:rsid w:val="0053475E"/>
    <w:rsid w:val="00567C66"/>
    <w:rsid w:val="005713CB"/>
    <w:rsid w:val="00583088"/>
    <w:rsid w:val="005905CC"/>
    <w:rsid w:val="005D1B1B"/>
    <w:rsid w:val="00600F40"/>
    <w:rsid w:val="006144AE"/>
    <w:rsid w:val="00632761"/>
    <w:rsid w:val="00634489"/>
    <w:rsid w:val="00637028"/>
    <w:rsid w:val="00670B2C"/>
    <w:rsid w:val="00695061"/>
    <w:rsid w:val="006A74FC"/>
    <w:rsid w:val="006D4131"/>
    <w:rsid w:val="006E7613"/>
    <w:rsid w:val="00717C32"/>
    <w:rsid w:val="007212E3"/>
    <w:rsid w:val="00730A9D"/>
    <w:rsid w:val="007334BA"/>
    <w:rsid w:val="007840B2"/>
    <w:rsid w:val="007E0548"/>
    <w:rsid w:val="007F6595"/>
    <w:rsid w:val="00805F70"/>
    <w:rsid w:val="00806143"/>
    <w:rsid w:val="00811CA7"/>
    <w:rsid w:val="00837CFF"/>
    <w:rsid w:val="00843E46"/>
    <w:rsid w:val="00855596"/>
    <w:rsid w:val="008C30C7"/>
    <w:rsid w:val="009054A8"/>
    <w:rsid w:val="009131D9"/>
    <w:rsid w:val="0092311D"/>
    <w:rsid w:val="00923478"/>
    <w:rsid w:val="0092595C"/>
    <w:rsid w:val="00947FC4"/>
    <w:rsid w:val="00964BCA"/>
    <w:rsid w:val="00972D13"/>
    <w:rsid w:val="00977DE1"/>
    <w:rsid w:val="0098106C"/>
    <w:rsid w:val="009A6874"/>
    <w:rsid w:val="009C1417"/>
    <w:rsid w:val="009D169A"/>
    <w:rsid w:val="009D5F63"/>
    <w:rsid w:val="009E1BEE"/>
    <w:rsid w:val="009F1C32"/>
    <w:rsid w:val="00A045B5"/>
    <w:rsid w:val="00A06E29"/>
    <w:rsid w:val="00A154DE"/>
    <w:rsid w:val="00A619BC"/>
    <w:rsid w:val="00A62ADE"/>
    <w:rsid w:val="00A63A79"/>
    <w:rsid w:val="00AA3A73"/>
    <w:rsid w:val="00AA6C17"/>
    <w:rsid w:val="00AD06A5"/>
    <w:rsid w:val="00B047A6"/>
    <w:rsid w:val="00B17DCE"/>
    <w:rsid w:val="00B63B09"/>
    <w:rsid w:val="00B73303"/>
    <w:rsid w:val="00B951A9"/>
    <w:rsid w:val="00BB3D13"/>
    <w:rsid w:val="00BC1DA8"/>
    <w:rsid w:val="00BD66B4"/>
    <w:rsid w:val="00BF1775"/>
    <w:rsid w:val="00C22DE0"/>
    <w:rsid w:val="00C535E9"/>
    <w:rsid w:val="00C91855"/>
    <w:rsid w:val="00CA0F23"/>
    <w:rsid w:val="00CE076E"/>
    <w:rsid w:val="00CE1892"/>
    <w:rsid w:val="00CE2925"/>
    <w:rsid w:val="00CE42B2"/>
    <w:rsid w:val="00D40E0E"/>
    <w:rsid w:val="00D45619"/>
    <w:rsid w:val="00D63B28"/>
    <w:rsid w:val="00D66459"/>
    <w:rsid w:val="00D8750A"/>
    <w:rsid w:val="00D91D91"/>
    <w:rsid w:val="00D95582"/>
    <w:rsid w:val="00DC337F"/>
    <w:rsid w:val="00DE7B00"/>
    <w:rsid w:val="00E2188B"/>
    <w:rsid w:val="00E231B4"/>
    <w:rsid w:val="00E35787"/>
    <w:rsid w:val="00E35C01"/>
    <w:rsid w:val="00E53912"/>
    <w:rsid w:val="00E57935"/>
    <w:rsid w:val="00E65E99"/>
    <w:rsid w:val="00E9064D"/>
    <w:rsid w:val="00E9169E"/>
    <w:rsid w:val="00E937CB"/>
    <w:rsid w:val="00EE2D1B"/>
    <w:rsid w:val="00EE35D0"/>
    <w:rsid w:val="00EF0D82"/>
    <w:rsid w:val="00EF7382"/>
    <w:rsid w:val="00F00125"/>
    <w:rsid w:val="00F12B50"/>
    <w:rsid w:val="00F142F0"/>
    <w:rsid w:val="00F14CE6"/>
    <w:rsid w:val="00F248E8"/>
    <w:rsid w:val="00F420A3"/>
    <w:rsid w:val="00F47254"/>
    <w:rsid w:val="00F5551E"/>
    <w:rsid w:val="00F7356F"/>
    <w:rsid w:val="00FE4C8C"/>
    <w:rsid w:val="00FF64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6FC2CE2E"/>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1DA8"/>
    <w:pPr>
      <w:widowControl w:val="0"/>
      <w:jc w:val="both"/>
    </w:pPr>
    <w:rPr>
      <w:rFonts w:ascii="Century" w:eastAsia="ＭＳ 明朝" w:hAnsi="Century" w:cs="Times New Roman"/>
      <w:sz w:val="21"/>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40E0E"/>
    <w:pPr>
      <w:tabs>
        <w:tab w:val="center" w:pos="4252"/>
        <w:tab w:val="right" w:pos="8504"/>
      </w:tabs>
      <w:snapToGrid w:val="0"/>
    </w:pPr>
  </w:style>
  <w:style w:type="character" w:customStyle="1" w:styleId="a4">
    <w:name w:val="ヘッダー (文字)"/>
    <w:basedOn w:val="a0"/>
    <w:link w:val="a3"/>
    <w:uiPriority w:val="99"/>
    <w:rsid w:val="00D40E0E"/>
    <w:rPr>
      <w:rFonts w:ascii="Century" w:eastAsia="ＭＳ 明朝" w:hAnsi="Century" w:cs="Times New Roman"/>
      <w:sz w:val="21"/>
      <w:szCs w:val="20"/>
    </w:rPr>
  </w:style>
  <w:style w:type="paragraph" w:styleId="a5">
    <w:name w:val="footer"/>
    <w:basedOn w:val="a"/>
    <w:link w:val="a6"/>
    <w:uiPriority w:val="99"/>
    <w:unhideWhenUsed/>
    <w:rsid w:val="00D40E0E"/>
    <w:pPr>
      <w:tabs>
        <w:tab w:val="center" w:pos="4252"/>
        <w:tab w:val="right" w:pos="8504"/>
      </w:tabs>
      <w:snapToGrid w:val="0"/>
    </w:pPr>
  </w:style>
  <w:style w:type="character" w:customStyle="1" w:styleId="a6">
    <w:name w:val="フッター (文字)"/>
    <w:basedOn w:val="a0"/>
    <w:link w:val="a5"/>
    <w:uiPriority w:val="99"/>
    <w:rsid w:val="00D40E0E"/>
    <w:rPr>
      <w:rFonts w:ascii="Century" w:eastAsia="ＭＳ 明朝" w:hAnsi="Century" w:cs="Times New Roman"/>
      <w:sz w:val="21"/>
      <w:szCs w:val="20"/>
    </w:rPr>
  </w:style>
  <w:style w:type="paragraph" w:styleId="a7">
    <w:name w:val="List Paragraph"/>
    <w:basedOn w:val="a"/>
    <w:uiPriority w:val="34"/>
    <w:qFormat/>
    <w:rsid w:val="00F4725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398</Words>
  <Characters>2271</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2026-06-02T14:01:00Z</dcterms:created>
  <dcterms:modified xsi:type="dcterms:W3CDTF">2026-06-02T14:10:00Z</dcterms:modified>
</cp:coreProperties>
</file>