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Calibri" w:hAnsi="Calibri"/>
          <w:b/>
          <w:color w:val="000000"/>
          <w:sz w:val="40"/>
        </w:rPr>
        <w:t xml:space="preserve">Design</w:t>
      </w:r>
      <w:r>
        <w:rPr>
          <w:rFonts w:ascii="Calibri" w:hAnsi="Calibri"/>
          <w:b/>
          <w:color w:val="000000"/>
          <w:sz w:val="40"/>
        </w:rPr>
        <w:t xml:space="preserve"> </w:t>
      </w:r>
      <w:r>
        <w:rPr>
          <w:rFonts w:ascii="Calibri" w:hAnsi="Calibri"/>
          <w:b/>
          <w:color w:val="000000"/>
          <w:sz w:val="40"/>
        </w:rPr>
        <w:t xml:space="preserve">System</w:t>
      </w:r>
    </w:p>
    <w:bookmarkStart w:id="20" w:name="Xe60e88785ec0e26e6e09699a245856f62c886e2"/>
    <w:p>
      <w:pPr>
        <w:jc w:val="center"/>
      </w:pPr>
      <w:r>
        <w:rPr>
          <w:rFonts w:ascii="Calibri" w:hAnsi="Calibri"/>
          <w:b/>
          <w:color w:val="444444"/>
          <w:sz w:val="28"/>
        </w:rPr>
        <w:t xml:space="preserve">RAKSHAK360 — Intelligent Hazard Red-Zone &amp; Relocation Platform</w:t>
      </w:r>
    </w:p>
    <w:p>
      <w:pPr>
        <w:jc w:val="center"/>
      </w:pPr>
      <w:r>
        <w:rPr>
          <w:bCs/>
          <w:rFonts w:ascii="Calibri" w:hAnsi="Calibri"/>
          <w:b/>
          <w:color w:val="000000"/>
          <w:sz w:val="22"/>
        </w:rPr>
        <w:t xml:space="preserve">Smart India Hackathon 2026 — Problem Statement SIH26191</w:t>
      </w:r>
    </w:p>
    <w:tbl>
      <w:tblPr>
        <w:tblStyle w:val="Table"/>
        <w:tblW w:type="pct" w:w="5000"/>
        <w:tblLook w:firstRow="0" w:lastRow="0" w:firstColumn="0" w:lastColumn="0" w:noHBand="0" w:noVBand="0" w:val="000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c>
          <w:tcPr>
            <w:shd w:val="clear" w:color="auto" w:fill="EEF3F6"/>
          </w:tcPr>
          <w:p>
            <w:pPr>
              <w:pStyle w:val="Compact"/>
              <w:jc w:val="left"/>
            </w:pPr>
            <w:r>
              <w:rPr>
                <w:bCs/>
                <w:b/>
                <w:color w:val="22303C"/>
                <w:sz w:val="20"/>
              </w:rPr>
              <w:t xml:space="preserve">Purpose</w:t>
            </w:r>
          </w:p>
        </w:tc>
        <w:tc>
          <w:tcPr/>
          <w:p>
            <w:pPr>
              <w:pStyle w:val="Compact"/>
              <w:jc w:val="left"/>
            </w:pPr>
            <w:r>
              <w:rPr>
                <w:b w:val="0"/>
                <w:color w:val="22303C"/>
                <w:sz w:val="20"/>
              </w:rPr>
              <w:t xml:space="preserve">Colour, typography and interface principles for every screen in the platform</w:t>
            </w:r>
          </w:p>
        </w:tc>
      </w:tr>
      <w:tr>
        <w:tc>
          <w:tcPr>
            <w:shd w:val="clear" w:color="auto" w:fill="EEF3F6"/>
          </w:tcPr>
          <w:p>
            <w:pPr>
              <w:pStyle w:val="Compact"/>
              <w:jc w:val="left"/>
            </w:pPr>
            <w:r>
              <w:rPr>
                <w:bCs/>
                <w:b/>
                <w:color w:val="22303C"/>
                <w:sz w:val="20"/>
              </w:rPr>
              <w:t xml:space="preserve">Status</w:t>
            </w:r>
          </w:p>
        </w:tc>
        <w:tc>
          <w:tcPr/>
          <w:p>
            <w:pPr>
              <w:pStyle w:val="Compact"/>
              <w:jc w:val="left"/>
            </w:pPr>
            <w:r>
              <w:rPr>
                <w:b w:val="0"/>
                <w:color w:val="22303C"/>
                <w:sz w:val="20"/>
              </w:rPr>
              <w:t xml:space="preserve">v3 — reverted to the full-saturation palette and three-face type system (see §1/§2.5’s revision note). Tokens below are the ones actually shipping.</w:t>
            </w:r>
          </w:p>
        </w:tc>
      </w:tr>
      <w:tr>
        <w:tc>
          <w:tcPr>
            <w:shd w:val="clear" w:color="auto" w:fill="EEF3F6"/>
          </w:tcPr>
          <w:p>
            <w:pPr>
              <w:pStyle w:val="Compact"/>
              <w:jc w:val="left"/>
            </w:pPr>
            <w:r>
              <w:rPr>
                <w:bCs/>
                <w:b/>
                <w:color w:val="22303C"/>
                <w:sz w:val="20"/>
              </w:rPr>
              <w:t xml:space="preserve">Relates to</w:t>
            </w:r>
          </w:p>
        </w:tc>
        <w:tc>
          <w:tcPr/>
          <w:p>
            <w:pPr>
              <w:pStyle w:val="Compact"/>
              <w:jc w:val="left"/>
            </w:pPr>
            <w:r>
              <w:rPr>
                <w:b w:val="0"/>
                <w:color w:val="22303C"/>
                <w:sz w:val="20"/>
              </w:rPr>
              <w:t xml:space="preserve">PRD §7 (screen inventory), PRD §10 (explainability, data currency, privacy), TRD, Backend Schema</w:t>
            </w:r>
          </w:p>
        </w:tc>
      </w:tr>
    </w:tbl>
    <w:p>
      <w:r>
        <w:pict>
          <v:rect style="width:0;height:1.5pt" o:hralign="center" o:hrstd="t" o:hr="t"/>
        </w:pict>
      </w:r>
    </w:p>
    <w:bookmarkEnd w:id="20"/>
    <w:bookmarkStart w:id="21" w:name="design-position"/>
    <w:p>
      <w:pPr>
        <w:spacing w:before="200" w:after="160"/>
        <w:pBdr>
          <w:bottom w:val="single" w:sz="6" w:space="1" w:color="AAAAAA"/>
        </w:pBdr>
      </w:pPr>
    </w:p>
    <w:p>
      <w:pPr>
        <w:pStyle w:val="Heading1"/>
      </w:pPr>
      <w:r>
        <w:t xml:space="preserve">1. Design Position</w:t>
      </w:r>
    </w:p>
    <w:p>
      <w:pPr>
        <w:pStyle w:val="FirstParagraph"/>
      </w:pPr>
      <w:r>
        <w:t xml:space="preserve">The platform is an authority-only decision and coordination layer, used by SDMA officials, NDRF field officers and district control rooms — often during an active event, often at night, sometimes over a satellite-backed link. The interface reads as a district control room console, not a consumer product: dark ground, dense and precise data, restrained colour so that when red appears it genuinely means danger.</w:t>
      </w:r>
    </w:p>
    <w:p>
      <w:pPr>
        <w:pStyle w:val="BodyText"/>
      </w:pPr>
      <w:r>
        <w:t xml:space="preserve">This rules out several defaults. No consumer-app friendliness, no illustration, no decorative gradients, no layouts where every block is an identical rounded card. Structural devices — numbering, dividers, severity stripes — encode something true about the content rather than decorate it.</w:t>
      </w:r>
    </w:p>
    <w:p>
      <w:pPr>
        <w:pStyle w:val="BodyText"/>
      </w:pPr>
      <w:r>
        <w:rPr>
          <w:bCs/>
          <w:b/>
        </w:rPr>
        <w:t xml:space="preserve">A note on this version.</w:t>
      </w:r>
      <w:r>
        <w:t xml:space="preserve"> </w:t>
      </w:r>
      <w:r>
        <w:t xml:space="preserve">v1 of this document proposed a maximum-saturation palette (</w:t>
      </w:r>
      <w:r>
        <w:rPr>
          <w:rStyle w:val="VerbatimChar"/>
        </w:rPr>
        <w:t xml:space="preserve">#00043a</w:t>
      </w:r>
      <w:r>
        <w:t xml:space="preserve"> </w:t>
      </w:r>
      <w:r>
        <w:t xml:space="preserve">ground,</w:t>
      </w:r>
      <w:r>
        <w:t xml:space="preserve"> </w:t>
      </w:r>
      <w:r>
        <w:rPr>
          <w:rStyle w:val="VerbatimChar"/>
        </w:rPr>
        <w:t xml:space="preserve">#ff002b</w:t>
      </w:r>
      <w:r>
        <w:t xml:space="preserve">,</w:t>
      </w:r>
      <w:r>
        <w:t xml:space="preserve"> </w:t>
      </w:r>
      <w:r>
        <w:rPr>
          <w:rStyle w:val="VerbatimChar"/>
        </w:rPr>
        <w:t xml:space="preserve">#00ff80</w:t>
      </w:r>
      <w:r>
        <w:t xml:space="preserve">) and a three-face type system. v2 replaced it with a different, contrast-validated palette, on the reasoning that full saturation spends the danger signal everywhere at once (the argument is kept, historically, in §2.5). v3 — this version — reverts to the v1 palette and type system by explicit product decision: the team wants Deep Navy ground, Imperial Blue surfaces and Racing Red at the critical end of the risk ramp, at full saturation, and accepted the contrast trade-off that entails. Anyone extending this system should treat the tokens in §2/§3 below as canonical and re-run the contrast check in §2.5 against them before shipping a new colour.</w:t>
      </w:r>
    </w:p>
    <w:p>
      <w:r>
        <w:pict>
          <v:rect style="width:0;height:1.5pt" o:hralign="center" o:hrstd="t" o:hr="t"/>
        </w:pict>
      </w:r>
    </w:p>
    <w:bookmarkEnd w:id="21"/>
    <w:bookmarkStart w:id="28" w:name="colour"/>
    <w:p>
      <w:pPr>
        <w:spacing w:before="200" w:after="160"/>
        <w:pBdr>
          <w:bottom w:val="single" w:sz="6" w:space="1" w:color="AAAAAA"/>
        </w:pBdr>
      </w:pPr>
    </w:p>
    <w:p>
      <w:pPr>
        <w:pStyle w:val="Heading1"/>
      </w:pPr>
      <w:r>
        <w:t xml:space="preserve">2. Colour</w:t>
      </w:r>
    </w:p>
    <w:p>
      <w:pPr>
        <w:pStyle w:val="FirstParagraph"/>
      </w:pPr>
      <w:r>
        <w:t xml:space="preserve">Colour is expressed as CSS custom properties with a full light-theme override. No screen hardcodes a hex value in markup; severity and confidence colours resolve through the token maps in §2.3 and §2.4.</w:t>
      </w:r>
    </w:p>
    <w:bookmarkStart w:id="22" w:name="ground-and-surfaces"/>
    <w:p>
      <w:pPr>
        <w:pStyle w:val="Heading2"/>
      </w:pPr>
      <w:r>
        <w:t xml:space="preserve">2.1 Ground and surfaces</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tblGrid>
      <w:tr>
        <w:trPr>
          <w:tblHeader w:val="true"/>
          <w:tblHeader w:val="true"/>
        </w:trPr>
        <w:tc>
          <w:tcPr>
            <w:shd w:val="clear" w:color="auto" w:fill="1F3A5F"/>
          </w:tcPr>
          <w:p>
            <w:pPr>
              <w:pStyle w:val="Compact"/>
              <w:jc w:val="left"/>
            </w:pPr>
            <w:r>
              <w:rPr>
                <w:b/>
                <w:color w:val="FFFFFF"/>
                <w:sz w:val="19"/>
              </w:rPr>
              <w:t xml:space="preserve">Token</w:t>
            </w:r>
          </w:p>
        </w:tc>
        <w:tc>
          <w:tcPr>
            <w:shd w:val="clear" w:color="auto" w:fill="1F3A5F"/>
          </w:tcPr>
          <w:p>
            <w:pPr>
              <w:pStyle w:val="Compact"/>
              <w:jc w:val="left"/>
            </w:pPr>
            <w:r>
              <w:rPr>
                <w:b/>
                <w:color w:val="FFFFFF"/>
                <w:sz w:val="19"/>
              </w:rPr>
              <w:t xml:space="preserve">Dark</w:t>
            </w:r>
          </w:p>
        </w:tc>
        <w:tc>
          <w:tcPr>
            <w:shd w:val="clear" w:color="auto" w:fill="1F3A5F"/>
          </w:tcPr>
          <w:p>
            <w:pPr>
              <w:pStyle w:val="Compact"/>
              <w:jc w:val="left"/>
            </w:pPr>
            <w:r>
              <w:rPr>
                <w:b/>
                <w:color w:val="FFFFFF"/>
                <w:sz w:val="19"/>
              </w:rPr>
              <w:t xml:space="preserve">Light</w:t>
            </w:r>
          </w:p>
        </w:tc>
        <w:tc>
          <w:tcPr>
            <w:shd w:val="clear" w:color="auto" w:fill="1F3A5F"/>
          </w:tcPr>
          <w:p>
            <w:pPr>
              <w:pStyle w:val="Compact"/>
              <w:jc w:val="left"/>
            </w:pPr>
            <w:r>
              <w:rPr>
                <w:b/>
                <w:color w:val="FFFFFF"/>
                <w:sz w:val="19"/>
              </w:rPr>
              <w:t xml:space="preserve">Role</w:t>
            </w:r>
          </w:p>
        </w:tc>
      </w:tr>
      <w:tr>
        <w:tc>
          <w:tcPr/>
          <w:p>
            <w:pPr>
              <w:pStyle w:val="Compact"/>
              <w:jc w:val="left"/>
            </w:pPr>
            <w:r>
              <w:rPr>
                <w:rStyle w:val="VerbatimChar"/>
                <w:b w:val="0"/>
                <w:color w:val="22303C"/>
                <w:sz w:val="18"/>
              </w:rPr>
              <w:t xml:space="preserve">--bg</w:t>
            </w:r>
          </w:p>
        </w:tc>
        <w:tc>
          <w:tcPr/>
          <w:p>
            <w:pPr>
              <w:pStyle w:val="Compact"/>
              <w:jc w:val="left"/>
            </w:pPr>
            <w:r>
              <w:rPr>
                <w:rStyle w:val="VerbatimChar"/>
                <w:b w:val="0"/>
                <w:color w:val="22303C"/>
                <w:sz w:val="18"/>
              </w:rPr>
              <w:t xml:space="preserve">#00043a</w:t>
            </w:r>
            <w:r>
              <w:rPr>
                <w:b w:val="0"/>
                <w:color w:val="22303C"/>
                <w:sz w:val="18"/>
              </w:rPr>
              <w:t xml:space="preserve"> </w:t>
            </w:r>
            <w:r>
              <w:rPr>
                <w:b w:val="0"/>
                <w:color w:val="22303C"/>
                <w:sz w:val="18"/>
              </w:rPr>
              <w:t xml:space="preserve">(Deep Navy)</w:t>
            </w:r>
          </w:p>
        </w:tc>
        <w:tc>
          <w:tcPr/>
          <w:p>
            <w:pPr>
              <w:pStyle w:val="Compact"/>
              <w:jc w:val="left"/>
            </w:pPr>
            <w:r>
              <w:rPr>
                <w:rStyle w:val="VerbatimChar"/>
                <w:b w:val="0"/>
                <w:color w:val="22303C"/>
                <w:sz w:val="18"/>
              </w:rPr>
              <w:t xml:space="preserve">#F4F6F9</w:t>
            </w:r>
          </w:p>
        </w:tc>
        <w:tc>
          <w:tcPr/>
          <w:p>
            <w:pPr>
              <w:pStyle w:val="Compact"/>
              <w:jc w:val="left"/>
            </w:pPr>
            <w:r>
              <w:rPr>
                <w:b w:val="0"/>
                <w:color w:val="22303C"/>
                <w:sz w:val="18"/>
              </w:rPr>
              <w:t xml:space="preserve">Base background</w:t>
            </w:r>
          </w:p>
        </w:tc>
      </w:tr>
      <w:tr>
        <w:tc>
          <w:tcPr>
            <w:shd w:val="clear" w:color="auto" w:fill="EEF3F6"/>
          </w:tcPr>
          <w:p>
            <w:pPr>
              <w:pStyle w:val="Compact"/>
              <w:jc w:val="left"/>
            </w:pPr>
            <w:r>
              <w:rPr>
                <w:rStyle w:val="VerbatimChar"/>
                <w:b w:val="0"/>
                <w:color w:val="22303C"/>
                <w:sz w:val="18"/>
              </w:rPr>
              <w:t xml:space="preserve">--bg2</w:t>
            </w:r>
          </w:p>
        </w:tc>
        <w:tc>
          <w:tcPr>
            <w:shd w:val="clear" w:color="auto" w:fill="EEF3F6"/>
          </w:tcPr>
          <w:p>
            <w:pPr>
              <w:pStyle w:val="Compact"/>
              <w:jc w:val="left"/>
            </w:pPr>
            <w:r>
              <w:rPr>
                <w:rStyle w:val="VerbatimChar"/>
                <w:b w:val="0"/>
                <w:color w:val="22303C"/>
                <w:sz w:val="18"/>
              </w:rPr>
              <w:t xml:space="preserve">#002962</w:t>
            </w:r>
            <w:r>
              <w:rPr>
                <w:b w:val="0"/>
                <w:color w:val="22303C"/>
                <w:sz w:val="18"/>
              </w:rPr>
              <w:t xml:space="preserve"> </w:t>
            </w:r>
            <w:r>
              <w:rPr>
                <w:b w:val="0"/>
                <w:color w:val="22303C"/>
                <w:sz w:val="18"/>
              </w:rPr>
              <w:t xml:space="preserve">(Imperial Blue)</w:t>
            </w:r>
          </w:p>
        </w:tc>
        <w:tc>
          <w:tcPr>
            <w:shd w:val="clear" w:color="auto" w:fill="EEF3F6"/>
          </w:tcPr>
          <w:p>
            <w:pPr>
              <w:pStyle w:val="Compact"/>
              <w:jc w:val="left"/>
            </w:pPr>
            <w:r>
              <w:rPr>
                <w:rStyle w:val="VerbatimChar"/>
                <w:b w:val="0"/>
                <w:color w:val="22303C"/>
                <w:sz w:val="18"/>
              </w:rPr>
              <w:t xml:space="preserve">#FFFFFF</w:t>
            </w:r>
          </w:p>
        </w:tc>
        <w:tc>
          <w:tcPr>
            <w:shd w:val="clear" w:color="auto" w:fill="EEF3F6"/>
          </w:tcPr>
          <w:p>
            <w:pPr>
              <w:pStyle w:val="Compact"/>
              <w:jc w:val="left"/>
            </w:pPr>
            <w:r>
              <w:rPr>
                <w:b w:val="0"/>
                <w:color w:val="22303C"/>
                <w:sz w:val="18"/>
              </w:rPr>
              <w:t xml:space="preserve">Nav rail, header, raised ground</w:t>
            </w:r>
          </w:p>
        </w:tc>
      </w:tr>
      <w:tr>
        <w:tc>
          <w:tcPr/>
          <w:p>
            <w:pPr>
              <w:pStyle w:val="Compact"/>
              <w:jc w:val="left"/>
            </w:pPr>
            <w:r>
              <w:rPr>
                <w:rStyle w:val="VerbatimChar"/>
                <w:b w:val="0"/>
                <w:color w:val="22303C"/>
                <w:sz w:val="18"/>
              </w:rPr>
              <w:t xml:space="preserve">--panel</w:t>
            </w:r>
          </w:p>
        </w:tc>
        <w:tc>
          <w:tcPr/>
          <w:p>
            <w:pPr>
              <w:pStyle w:val="Compact"/>
              <w:jc w:val="left"/>
            </w:pPr>
            <w:r>
              <w:rPr>
                <w:rStyle w:val="VerbatimChar"/>
                <w:b w:val="0"/>
                <w:color w:val="22303C"/>
                <w:sz w:val="18"/>
              </w:rPr>
              <w:t xml:space="preserve">#001d4d</w:t>
            </w:r>
          </w:p>
        </w:tc>
        <w:tc>
          <w:tcPr/>
          <w:p>
            <w:pPr>
              <w:pStyle w:val="Compact"/>
              <w:jc w:val="left"/>
            </w:pPr>
            <w:r>
              <w:rPr>
                <w:rStyle w:val="VerbatimChar"/>
                <w:b w:val="0"/>
                <w:color w:val="22303C"/>
                <w:sz w:val="18"/>
              </w:rPr>
              <w:t xml:space="preserve">#FFFFFF</w:t>
            </w:r>
          </w:p>
        </w:tc>
        <w:tc>
          <w:tcPr/>
          <w:p>
            <w:pPr>
              <w:pStyle w:val="Compact"/>
              <w:jc w:val="left"/>
            </w:pPr>
            <w:r>
              <w:rPr>
                <w:b w:val="0"/>
                <w:color w:val="22303C"/>
                <w:sz w:val="18"/>
              </w:rPr>
              <w:t xml:space="preserve">Panels and cards</w:t>
            </w:r>
          </w:p>
        </w:tc>
      </w:tr>
      <w:tr>
        <w:tc>
          <w:tcPr>
            <w:shd w:val="clear" w:color="auto" w:fill="EEF3F6"/>
          </w:tcPr>
          <w:p>
            <w:pPr>
              <w:pStyle w:val="Compact"/>
              <w:jc w:val="left"/>
            </w:pPr>
            <w:r>
              <w:rPr>
                <w:rStyle w:val="VerbatimChar"/>
                <w:b w:val="0"/>
                <w:color w:val="22303C"/>
                <w:sz w:val="18"/>
              </w:rPr>
              <w:t xml:space="preserve">--panel2</w:t>
            </w:r>
          </w:p>
        </w:tc>
        <w:tc>
          <w:tcPr>
            <w:shd w:val="clear" w:color="auto" w:fill="EEF3F6"/>
          </w:tcPr>
          <w:p>
            <w:pPr>
              <w:pStyle w:val="Compact"/>
              <w:jc w:val="left"/>
            </w:pPr>
            <w:r>
              <w:rPr>
                <w:rStyle w:val="VerbatimChar"/>
                <w:b w:val="0"/>
                <w:color w:val="22303C"/>
                <w:sz w:val="18"/>
              </w:rPr>
              <w:t xml:space="preserve">#002e70</w:t>
            </w:r>
          </w:p>
        </w:tc>
        <w:tc>
          <w:tcPr>
            <w:shd w:val="clear" w:color="auto" w:fill="EEF3F6"/>
          </w:tcPr>
          <w:p>
            <w:pPr>
              <w:pStyle w:val="Compact"/>
              <w:jc w:val="left"/>
            </w:pPr>
            <w:r>
              <w:rPr>
                <w:rStyle w:val="VerbatimChar"/>
                <w:b w:val="0"/>
                <w:color w:val="22303C"/>
                <w:sz w:val="18"/>
              </w:rPr>
              <w:t xml:space="preserve">#F4F6F9</w:t>
            </w:r>
          </w:p>
        </w:tc>
        <w:tc>
          <w:tcPr>
            <w:shd w:val="clear" w:color="auto" w:fill="EEF3F6"/>
          </w:tcPr>
          <w:p>
            <w:pPr>
              <w:pStyle w:val="Compact"/>
              <w:jc w:val="left"/>
            </w:pPr>
            <w:r>
              <w:rPr>
                <w:b w:val="0"/>
                <w:color w:val="22303C"/>
                <w:sz w:val="18"/>
              </w:rPr>
              <w:t xml:space="preserve">Nested panels</w:t>
            </w:r>
          </w:p>
        </w:tc>
      </w:tr>
      <w:tr>
        <w:tc>
          <w:tcPr/>
          <w:p>
            <w:pPr>
              <w:pStyle w:val="Compact"/>
              <w:jc w:val="left"/>
            </w:pPr>
            <w:r>
              <w:rPr>
                <w:rStyle w:val="VerbatimChar"/>
                <w:b w:val="0"/>
                <w:color w:val="22303C"/>
                <w:sz w:val="18"/>
              </w:rPr>
              <w:t xml:space="preserve">--track</w:t>
            </w:r>
          </w:p>
        </w:tc>
        <w:tc>
          <w:tcPr/>
          <w:p>
            <w:pPr>
              <w:pStyle w:val="Compact"/>
              <w:jc w:val="left"/>
            </w:pPr>
            <w:r>
              <w:rPr>
                <w:rStyle w:val="VerbatimChar"/>
                <w:b w:val="0"/>
                <w:color w:val="22303C"/>
                <w:sz w:val="18"/>
              </w:rPr>
              <w:t xml:space="preserve">#001233</w:t>
            </w:r>
          </w:p>
        </w:tc>
        <w:tc>
          <w:tcPr/>
          <w:p>
            <w:pPr>
              <w:pStyle w:val="Compact"/>
              <w:jc w:val="left"/>
            </w:pPr>
            <w:r>
              <w:rPr>
                <w:rStyle w:val="VerbatimChar"/>
                <w:b w:val="0"/>
                <w:color w:val="22303C"/>
                <w:sz w:val="18"/>
              </w:rPr>
              <w:t xml:space="preserve">#E7EBF1</w:t>
            </w:r>
          </w:p>
        </w:tc>
        <w:tc>
          <w:tcPr/>
          <w:p>
            <w:pPr>
              <w:pStyle w:val="Compact"/>
              <w:jc w:val="left"/>
            </w:pPr>
            <w:r>
              <w:rPr>
                <w:b w:val="0"/>
                <w:color w:val="22303C"/>
                <w:sz w:val="18"/>
              </w:rPr>
              <w:t xml:space="preserve">Progress tracks, inert fills</w:t>
            </w:r>
          </w:p>
        </w:tc>
      </w:tr>
      <w:tr>
        <w:tc>
          <w:tcPr>
            <w:shd w:val="clear" w:color="auto" w:fill="EEF3F6"/>
          </w:tcPr>
          <w:p>
            <w:pPr>
              <w:pStyle w:val="Compact"/>
              <w:jc w:val="left"/>
            </w:pPr>
            <w:r>
              <w:rPr>
                <w:rStyle w:val="VerbatimChar"/>
                <w:b w:val="0"/>
                <w:color w:val="22303C"/>
                <w:sz w:val="18"/>
              </w:rPr>
              <w:t xml:space="preserve">--rowSel</w:t>
            </w:r>
          </w:p>
        </w:tc>
        <w:tc>
          <w:tcPr>
            <w:shd w:val="clear" w:color="auto" w:fill="EEF3F6"/>
          </w:tcPr>
          <w:p>
            <w:pPr>
              <w:pStyle w:val="Compact"/>
              <w:jc w:val="left"/>
            </w:pPr>
            <w:r>
              <w:rPr>
                <w:rStyle w:val="VerbatimChar"/>
                <w:b w:val="0"/>
                <w:color w:val="22303C"/>
                <w:sz w:val="18"/>
              </w:rPr>
              <w:t xml:space="preserve">#003a82</w:t>
            </w:r>
          </w:p>
        </w:tc>
        <w:tc>
          <w:tcPr>
            <w:shd w:val="clear" w:color="auto" w:fill="EEF3F6"/>
          </w:tcPr>
          <w:p>
            <w:pPr>
              <w:pStyle w:val="Compact"/>
              <w:jc w:val="left"/>
            </w:pPr>
            <w:r>
              <w:rPr>
                <w:rStyle w:val="VerbatimChar"/>
                <w:b w:val="0"/>
                <w:color w:val="22303C"/>
                <w:sz w:val="18"/>
              </w:rPr>
              <w:t xml:space="preserve">#E8EFFB</w:t>
            </w:r>
          </w:p>
        </w:tc>
        <w:tc>
          <w:tcPr>
            <w:shd w:val="clear" w:color="auto" w:fill="EEF3F6"/>
          </w:tcPr>
          <w:p>
            <w:pPr>
              <w:pStyle w:val="Compact"/>
              <w:jc w:val="left"/>
            </w:pPr>
            <w:r>
              <w:rPr>
                <w:b w:val="0"/>
                <w:color w:val="22303C"/>
                <w:sz w:val="18"/>
              </w:rPr>
              <w:t xml:space="preserve">Selected table row</w:t>
            </w:r>
          </w:p>
        </w:tc>
      </w:tr>
      <w:tr>
        <w:tc>
          <w:tcPr/>
          <w:p>
            <w:pPr>
              <w:pStyle w:val="Compact"/>
              <w:jc w:val="left"/>
            </w:pPr>
            <w:r>
              <w:rPr>
                <w:rStyle w:val="VerbatimChar"/>
                <w:b w:val="0"/>
                <w:color w:val="22303C"/>
                <w:sz w:val="18"/>
              </w:rPr>
              <w:t xml:space="preserve">--border</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--border2</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--borderSoft</w:t>
            </w:r>
          </w:p>
        </w:tc>
        <w:tc>
          <w:tcPr/>
          <w:p>
            <w:pPr>
              <w:pStyle w:val="Compact"/>
              <w:jc w:val="left"/>
            </w:pPr>
            <w:r>
              <w:rPr>
                <w:rStyle w:val="VerbatimChar"/>
                <w:b w:val="0"/>
                <w:color w:val="22303C"/>
                <w:sz w:val="18"/>
              </w:rPr>
              <w:t xml:space="preserve">#1c3f7a</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#3868a8</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#0a1f52</w:t>
            </w:r>
          </w:p>
        </w:tc>
        <w:tc>
          <w:tcPr/>
          <w:p>
            <w:pPr>
              <w:pStyle w:val="Compact"/>
              <w:jc w:val="left"/>
            </w:pPr>
            <w:r>
              <w:rPr>
                <w:rStyle w:val="VerbatimChar"/>
                <w:b w:val="0"/>
                <w:color w:val="22303C"/>
                <w:sz w:val="18"/>
              </w:rPr>
              <w:t xml:space="preserve">#DDE3EC</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#C3CDDC</w:t>
            </w:r>
            <w:r>
              <w:rPr>
                <w:b w:val="0"/>
                <w:color w:val="22303C"/>
                <w:sz w:val="18"/>
              </w:rPr>
              <w:t xml:space="preserve"> </w:t>
            </w:r>
            <w:r>
              <w:rPr>
                <w:b w:val="0"/>
                <w:color w:val="22303C"/>
                <w:sz w:val="18"/>
              </w:rPr>
              <w:t xml:space="preserve">/</w:t>
            </w:r>
            <w:r>
              <w:rPr>
                <w:b w:val="0"/>
                <w:color w:val="22303C"/>
                <w:sz w:val="18"/>
              </w:rPr>
              <w:t xml:space="preserve"> </w:t>
            </w:r>
            <w:r>
              <w:rPr>
                <w:rStyle w:val="VerbatimChar"/>
                <w:b w:val="0"/>
                <w:color w:val="22303C"/>
                <w:sz w:val="18"/>
              </w:rPr>
              <w:t xml:space="preserve">#EDF0F5</w:t>
            </w:r>
          </w:p>
        </w:tc>
        <w:tc>
          <w:tcPr/>
          <w:p>
            <w:pPr>
              <w:pStyle w:val="Compact"/>
              <w:jc w:val="left"/>
            </w:pPr>
            <w:r>
              <w:rPr>
                <w:b w:val="0"/>
                <w:color w:val="22303C"/>
                <w:sz w:val="18"/>
              </w:rPr>
              <w:t xml:space="preserve">Dividers, panel edges, hairlines</w:t>
            </w:r>
          </w:p>
        </w:tc>
      </w:tr>
    </w:tbl>
    <w:p>
      <w:pPr>
        <w:pStyle w:val="BodyText"/>
      </w:pPr>
      <w:r>
        <w:t xml:space="preserve">Deep Navy and Imperial Blue are the two named brand anchors;</w:t>
      </w:r>
      <w:r>
        <w:t xml:space="preserve"> </w:t>
      </w:r>
      <w:r>
        <w:rPr>
          <w:rStyle w:val="VerbatimChar"/>
        </w:rPr>
        <w:t xml:space="preserve">--panel</w:t>
      </w:r>
      <w:r>
        <w:t xml:space="preserve">/</w:t>
      </w:r>
      <w:r>
        <w:rPr>
          <w:rStyle w:val="VerbatimChar"/>
        </w:rPr>
        <w:t xml:space="preserve">--panel2</w:t>
      </w:r>
      <w:r>
        <w:t xml:space="preserve">/</w:t>
      </w:r>
      <w:r>
        <w:rPr>
          <w:rStyle w:val="VerbatimChar"/>
        </w:rPr>
        <w:t xml:space="preserve">--track</w:t>
      </w:r>
      <w:r>
        <w:t xml:space="preserve">/</w:t>
      </w:r>
      <w:r>
        <w:rPr>
          <w:rStyle w:val="VerbatimChar"/>
        </w:rPr>
        <w:t xml:space="preserve">--rowSel</w:t>
      </w:r>
      <w:r>
        <w:t xml:space="preserve"> </w:t>
      </w:r>
      <w:r>
        <w:t xml:space="preserve">are a consistent lightness ramp built off them, not independently chosen, so panel nesting still reads as depth rather than as arbitrary variation. The light-theme column here is carried forward unchanged from v2 and remains unwired (§6).</w:t>
      </w:r>
    </w:p>
    <w:bookmarkEnd w:id="22"/>
    <w:bookmarkStart w:id="23" w:name="ink"/>
    <w:p>
      <w:pPr>
        <w:pStyle w:val="Heading2"/>
      </w:pPr>
      <w:r>
        <w:t xml:space="preserve">2.2 Ink</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tblGrid>
      <w:tr>
        <w:trPr>
          <w:tblHeader w:val="true"/>
          <w:tblHeader w:val="true"/>
        </w:trPr>
        <w:tc>
          <w:tcPr>
            <w:shd w:val="clear" w:color="auto" w:fill="1F3A5F"/>
          </w:tcPr>
          <w:p>
            <w:pPr>
              <w:pStyle w:val="Compact"/>
              <w:jc w:val="left"/>
            </w:pPr>
            <w:r>
              <w:rPr>
                <w:b/>
                <w:color w:val="FFFFFF"/>
                <w:sz w:val="19"/>
              </w:rPr>
              <w:t xml:space="preserve">Token</w:t>
            </w:r>
          </w:p>
        </w:tc>
        <w:tc>
          <w:tcPr>
            <w:shd w:val="clear" w:color="auto" w:fill="1F3A5F"/>
          </w:tcPr>
          <w:p>
            <w:pPr>
              <w:pStyle w:val="Compact"/>
              <w:jc w:val="left"/>
            </w:pPr>
            <w:r>
              <w:rPr>
                <w:b/>
                <w:color w:val="FFFFFF"/>
                <w:sz w:val="19"/>
              </w:rPr>
              <w:t xml:space="preserve">Dark</w:t>
            </w:r>
          </w:p>
        </w:tc>
        <w:tc>
          <w:tcPr>
            <w:shd w:val="clear" w:color="auto" w:fill="1F3A5F"/>
          </w:tcPr>
          <w:p>
            <w:pPr>
              <w:pStyle w:val="Compact"/>
              <w:jc w:val="left"/>
            </w:pPr>
            <w:r>
              <w:rPr>
                <w:b/>
                <w:color w:val="FFFFFF"/>
                <w:sz w:val="19"/>
              </w:rPr>
              <w:t xml:space="preserve">Light</w:t>
            </w:r>
          </w:p>
        </w:tc>
        <w:tc>
          <w:tcPr>
            <w:shd w:val="clear" w:color="auto" w:fill="1F3A5F"/>
          </w:tcPr>
          <w:p>
            <w:pPr>
              <w:pStyle w:val="Compact"/>
              <w:jc w:val="left"/>
            </w:pPr>
            <w:r>
              <w:rPr>
                <w:b/>
                <w:color w:val="FFFFFF"/>
                <w:sz w:val="19"/>
              </w:rPr>
              <w:t xml:space="preserve">Role</w:t>
            </w:r>
          </w:p>
        </w:tc>
      </w:tr>
      <w:tr>
        <w:tc>
          <w:tcPr/>
          <w:p>
            <w:pPr>
              <w:pStyle w:val="Compact"/>
              <w:jc w:val="left"/>
            </w:pPr>
            <w:r>
              <w:rPr>
                <w:rStyle w:val="VerbatimChar"/>
                <w:b w:val="0"/>
                <w:color w:val="22303C"/>
                <w:sz w:val="18"/>
              </w:rPr>
              <w:t xml:space="preserve">--ink</w:t>
            </w:r>
          </w:p>
        </w:tc>
        <w:tc>
          <w:tcPr/>
          <w:p>
            <w:pPr>
              <w:pStyle w:val="Compact"/>
              <w:jc w:val="left"/>
            </w:pPr>
            <w:r>
              <w:rPr>
                <w:rStyle w:val="VerbatimChar"/>
                <w:b w:val="0"/>
                <w:color w:val="22303C"/>
                <w:sz w:val="18"/>
              </w:rPr>
              <w:t xml:space="preserve">#eef1fb</w:t>
            </w:r>
          </w:p>
        </w:tc>
        <w:tc>
          <w:tcPr/>
          <w:p>
            <w:pPr>
              <w:pStyle w:val="Compact"/>
              <w:jc w:val="left"/>
            </w:pPr>
            <w:r>
              <w:rPr>
                <w:rStyle w:val="VerbatimChar"/>
                <w:b w:val="0"/>
                <w:color w:val="22303C"/>
                <w:sz w:val="18"/>
              </w:rPr>
              <w:t xml:space="preserve">#0F1620</w:t>
            </w:r>
          </w:p>
        </w:tc>
        <w:tc>
          <w:tcPr/>
          <w:p>
            <w:pPr>
              <w:pStyle w:val="Compact"/>
              <w:jc w:val="left"/>
            </w:pPr>
            <w:r>
              <w:rPr>
                <w:b w:val="0"/>
                <w:color w:val="22303C"/>
                <w:sz w:val="18"/>
              </w:rPr>
              <w:t xml:space="preserve">Primary text</w:t>
            </w:r>
          </w:p>
        </w:tc>
      </w:tr>
      <w:tr>
        <w:tc>
          <w:tcPr>
            <w:shd w:val="clear" w:color="auto" w:fill="EEF3F6"/>
          </w:tcPr>
          <w:p>
            <w:pPr>
              <w:pStyle w:val="Compact"/>
              <w:jc w:val="left"/>
            </w:pPr>
            <w:r>
              <w:rPr>
                <w:rStyle w:val="VerbatimChar"/>
                <w:b w:val="0"/>
                <w:color w:val="22303C"/>
                <w:sz w:val="18"/>
              </w:rPr>
              <w:t xml:space="preserve">--ink2</w:t>
            </w:r>
          </w:p>
        </w:tc>
        <w:tc>
          <w:tcPr>
            <w:shd w:val="clear" w:color="auto" w:fill="EEF3F6"/>
          </w:tcPr>
          <w:p>
            <w:pPr>
              <w:pStyle w:val="Compact"/>
              <w:jc w:val="left"/>
            </w:pPr>
            <w:r>
              <w:rPr>
                <w:rStyle w:val="VerbatimChar"/>
                <w:b w:val="0"/>
                <w:color w:val="22303C"/>
                <w:sz w:val="18"/>
              </w:rPr>
              <w:t xml:space="preserve">#c9d3ee</w:t>
            </w:r>
          </w:p>
        </w:tc>
        <w:tc>
          <w:tcPr>
            <w:shd w:val="clear" w:color="auto" w:fill="EEF3F6"/>
          </w:tcPr>
          <w:p>
            <w:pPr>
              <w:pStyle w:val="Compact"/>
              <w:jc w:val="left"/>
            </w:pPr>
            <w:r>
              <w:rPr>
                <w:rStyle w:val="VerbatimChar"/>
                <w:b w:val="0"/>
                <w:color w:val="22303C"/>
                <w:sz w:val="18"/>
              </w:rPr>
              <w:t xml:space="preserve">#27313F</w:t>
            </w:r>
          </w:p>
        </w:tc>
        <w:tc>
          <w:tcPr>
            <w:shd w:val="clear" w:color="auto" w:fill="EEF3F6"/>
          </w:tcPr>
          <w:p>
            <w:pPr>
              <w:pStyle w:val="Compact"/>
              <w:jc w:val="left"/>
            </w:pPr>
            <w:r>
              <w:rPr>
                <w:b w:val="0"/>
                <w:color w:val="22303C"/>
                <w:sz w:val="18"/>
              </w:rPr>
              <w:t xml:space="preserve">Secondary text, control labels</w:t>
            </w:r>
          </w:p>
        </w:tc>
      </w:tr>
      <w:tr>
        <w:tc>
          <w:tcPr/>
          <w:p>
            <w:pPr>
              <w:pStyle w:val="Compact"/>
              <w:jc w:val="left"/>
            </w:pPr>
            <w:r>
              <w:rPr>
                <w:rStyle w:val="VerbatimChar"/>
                <w:b w:val="0"/>
                <w:color w:val="22303C"/>
                <w:sz w:val="18"/>
              </w:rPr>
              <w:t xml:space="preserve">--ink3</w:t>
            </w:r>
          </w:p>
        </w:tc>
        <w:tc>
          <w:tcPr/>
          <w:p>
            <w:pPr>
              <w:pStyle w:val="Compact"/>
              <w:jc w:val="left"/>
            </w:pPr>
            <w:r>
              <w:rPr>
                <w:rStyle w:val="VerbatimChar"/>
                <w:b w:val="0"/>
                <w:color w:val="22303C"/>
                <w:sz w:val="18"/>
              </w:rPr>
              <w:t xml:space="preserve">#8fa0cc</w:t>
            </w:r>
          </w:p>
        </w:tc>
        <w:tc>
          <w:tcPr/>
          <w:p>
            <w:pPr>
              <w:pStyle w:val="Compact"/>
              <w:jc w:val="left"/>
            </w:pPr>
            <w:r>
              <w:rPr>
                <w:rStyle w:val="VerbatimChar"/>
                <w:b w:val="0"/>
                <w:color w:val="22303C"/>
                <w:sz w:val="18"/>
              </w:rPr>
              <w:t xml:space="preserve">#4C596C</w:t>
            </w:r>
          </w:p>
        </w:tc>
        <w:tc>
          <w:tcPr/>
          <w:p>
            <w:pPr>
              <w:pStyle w:val="Compact"/>
              <w:jc w:val="left"/>
            </w:pPr>
            <w:r>
              <w:rPr>
                <w:b w:val="0"/>
                <w:color w:val="22303C"/>
                <w:sz w:val="18"/>
              </w:rPr>
              <w:t xml:space="preserve">Descriptive copy</w:t>
            </w:r>
          </w:p>
        </w:tc>
      </w:tr>
      <w:tr>
        <w:tc>
          <w:tcPr>
            <w:shd w:val="clear" w:color="auto" w:fill="EEF3F6"/>
          </w:tcPr>
          <w:p>
            <w:pPr>
              <w:pStyle w:val="Compact"/>
              <w:jc w:val="left"/>
            </w:pPr>
            <w:r>
              <w:rPr>
                <w:rStyle w:val="VerbatimChar"/>
                <w:b w:val="0"/>
                <w:color w:val="22303C"/>
                <w:sz w:val="18"/>
              </w:rPr>
              <w:t xml:space="preserve">--ink4</w:t>
            </w:r>
          </w:p>
        </w:tc>
        <w:tc>
          <w:tcPr>
            <w:shd w:val="clear" w:color="auto" w:fill="EEF3F6"/>
          </w:tcPr>
          <w:p>
            <w:pPr>
              <w:pStyle w:val="Compact"/>
              <w:jc w:val="left"/>
            </w:pPr>
            <w:r>
              <w:rPr>
                <w:rStyle w:val="VerbatimChar"/>
                <w:b w:val="0"/>
                <w:color w:val="22303C"/>
                <w:sz w:val="18"/>
              </w:rPr>
              <w:t xml:space="preserve">#7c8fc0</w:t>
            </w:r>
          </w:p>
        </w:tc>
        <w:tc>
          <w:tcPr>
            <w:shd w:val="clear" w:color="auto" w:fill="EEF3F6"/>
          </w:tcPr>
          <w:p>
            <w:pPr>
              <w:pStyle w:val="Compact"/>
              <w:jc w:val="left"/>
            </w:pPr>
            <w:r>
              <w:rPr>
                <w:rStyle w:val="VerbatimChar"/>
                <w:b w:val="0"/>
                <w:color w:val="22303C"/>
                <w:sz w:val="18"/>
              </w:rPr>
              <w:t xml:space="preserve">#5C6878</w:t>
            </w:r>
          </w:p>
        </w:tc>
        <w:tc>
          <w:tcPr>
            <w:shd w:val="clear" w:color="auto" w:fill="EEF3F6"/>
          </w:tcPr>
          <w:p>
            <w:pPr>
              <w:pStyle w:val="Compact"/>
              <w:jc w:val="left"/>
            </w:pPr>
            <w:r>
              <w:rPr>
                <w:b w:val="0"/>
                <w:color w:val="22303C"/>
                <w:sz w:val="18"/>
              </w:rPr>
              <w:t xml:space="preserve">Captions, column headers, metadata</w:t>
            </w:r>
          </w:p>
        </w:tc>
      </w:tr>
      <w:tr>
        <w:tc>
          <w:tcPr/>
          <w:p>
            <w:pPr>
              <w:pStyle w:val="Compact"/>
              <w:jc w:val="left"/>
            </w:pPr>
            <w:r>
              <w:rPr>
                <w:rStyle w:val="VerbatimChar"/>
                <w:b w:val="0"/>
                <w:color w:val="22303C"/>
                <w:sz w:val="18"/>
              </w:rPr>
              <w:t xml:space="preserve">--ink5</w:t>
            </w:r>
          </w:p>
        </w:tc>
        <w:tc>
          <w:tcPr/>
          <w:p>
            <w:pPr>
              <w:pStyle w:val="Compact"/>
              <w:jc w:val="left"/>
            </w:pPr>
            <w:r>
              <w:rPr>
                <w:rStyle w:val="VerbatimChar"/>
                <w:b w:val="0"/>
                <w:color w:val="22303C"/>
                <w:sz w:val="18"/>
              </w:rPr>
              <w:t xml:space="preserve">#5870a8</w:t>
            </w:r>
          </w:p>
        </w:tc>
        <w:tc>
          <w:tcPr/>
          <w:p>
            <w:pPr>
              <w:pStyle w:val="Compact"/>
              <w:jc w:val="left"/>
            </w:pPr>
            <w:r>
              <w:rPr>
                <w:rStyle w:val="VerbatimChar"/>
                <w:b w:val="0"/>
                <w:color w:val="22303C"/>
                <w:sz w:val="18"/>
              </w:rPr>
              <w:t xml:space="preserve">#6B7787</w:t>
            </w:r>
          </w:p>
        </w:tc>
        <w:tc>
          <w:tcPr/>
          <w:p>
            <w:pPr>
              <w:pStyle w:val="Compact"/>
              <w:jc w:val="left"/>
            </w:pPr>
            <w:r>
              <w:rPr>
                <w:b w:val="0"/>
                <w:color w:val="22303C"/>
                <w:sz w:val="18"/>
              </w:rPr>
              <w:t xml:space="preserve">Disabled and dormant states</w:t>
            </w:r>
          </w:p>
        </w:tc>
      </w:tr>
    </w:tbl>
    <w:bookmarkEnd w:id="23"/>
    <w:bookmarkStart w:id="24" w:name="risk-semantics"/>
    <w:p>
      <w:pPr>
        <w:pStyle w:val="Heading2"/>
      </w:pPr>
      <w:r>
        <w:t xml:space="preserve">2.3 Risk semantics</w:t>
      </w:r>
    </w:p>
    <w:p>
      <w:pPr>
        <w:pStyle w:val="FirstParagraph"/>
      </w:pPr>
      <w:r>
        <w:t xml:space="preserve">These carry meaning and are never used decoratively.</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tblGrid>
      <w:tr>
        <w:trPr>
          <w:tblHeader w:val="true"/>
          <w:tblHeader w:val="true"/>
        </w:trPr>
        <w:tc>
          <w:tcPr>
            <w:shd w:val="clear" w:color="auto" w:fill="1F3A5F"/>
          </w:tcPr>
          <w:p>
            <w:pPr>
              <w:pStyle w:val="Compact"/>
              <w:jc w:val="left"/>
            </w:pPr>
            <w:r>
              <w:rPr>
                <w:b/>
                <w:color w:val="FFFFFF"/>
                <w:sz w:val="19"/>
              </w:rPr>
              <w:t xml:space="preserve">Token</w:t>
            </w:r>
          </w:p>
        </w:tc>
        <w:tc>
          <w:tcPr>
            <w:shd w:val="clear" w:color="auto" w:fill="1F3A5F"/>
          </w:tcPr>
          <w:p>
            <w:pPr>
              <w:pStyle w:val="Compact"/>
              <w:jc w:val="left"/>
            </w:pPr>
            <w:r>
              <w:rPr>
                <w:b/>
                <w:color w:val="FFFFFF"/>
                <w:sz w:val="19"/>
              </w:rPr>
              <w:t xml:space="preserve">Dark</w:t>
            </w:r>
          </w:p>
        </w:tc>
        <w:tc>
          <w:tcPr>
            <w:shd w:val="clear" w:color="auto" w:fill="1F3A5F"/>
          </w:tcPr>
          <w:p>
            <w:pPr>
              <w:pStyle w:val="Compact"/>
              <w:jc w:val="left"/>
            </w:pPr>
            <w:r>
              <w:rPr>
                <w:b/>
                <w:color w:val="FFFFFF"/>
                <w:sz w:val="19"/>
              </w:rPr>
              <w:t xml:space="preserve">Light</w:t>
            </w:r>
          </w:p>
        </w:tc>
        <w:tc>
          <w:tcPr>
            <w:shd w:val="clear" w:color="auto" w:fill="1F3A5F"/>
          </w:tcPr>
          <w:p>
            <w:pPr>
              <w:pStyle w:val="Compact"/>
              <w:jc w:val="left"/>
            </w:pPr>
            <w:r>
              <w:rPr>
                <w:b/>
                <w:color w:val="FFFFFF"/>
                <w:sz w:val="19"/>
              </w:rPr>
              <w:t xml:space="preserve">Role</w:t>
            </w:r>
          </w:p>
        </w:tc>
      </w:tr>
      <w:tr>
        <w:tc>
          <w:tcPr/>
          <w:p>
            <w:pPr>
              <w:pStyle w:val="Compact"/>
              <w:jc w:val="left"/>
            </w:pPr>
            <w:r>
              <w:rPr>
                <w:rStyle w:val="VerbatimChar"/>
                <w:b w:val="0"/>
                <w:color w:val="22303C"/>
                <w:sz w:val="18"/>
              </w:rPr>
              <w:t xml:space="preserve">--sev1</w:t>
            </w:r>
          </w:p>
        </w:tc>
        <w:tc>
          <w:tcPr/>
          <w:p>
            <w:pPr>
              <w:pStyle w:val="Compact"/>
              <w:jc w:val="left"/>
            </w:pPr>
            <w:r>
              <w:rPr>
                <w:rStyle w:val="VerbatimChar"/>
                <w:b w:val="0"/>
                <w:color w:val="22303C"/>
                <w:sz w:val="18"/>
              </w:rPr>
              <w:t xml:space="preserve">#ff002b</w:t>
            </w:r>
            <w:r>
              <w:rPr>
                <w:b w:val="0"/>
                <w:color w:val="22303C"/>
                <w:sz w:val="18"/>
              </w:rPr>
              <w:t xml:space="preserve"> </w:t>
            </w:r>
            <w:r>
              <w:rPr>
                <w:b w:val="0"/>
                <w:color w:val="22303C"/>
                <w:sz w:val="18"/>
              </w:rPr>
              <w:t xml:space="preserve">(Racing Red)</w:t>
            </w:r>
          </w:p>
        </w:tc>
        <w:tc>
          <w:tcPr/>
          <w:p>
            <w:pPr>
              <w:pStyle w:val="Compact"/>
              <w:jc w:val="left"/>
            </w:pPr>
            <w:r>
              <w:rPr>
                <w:rStyle w:val="VerbatimChar"/>
                <w:b w:val="0"/>
                <w:color w:val="22303C"/>
                <w:sz w:val="18"/>
              </w:rPr>
              <w:t xml:space="preserve">#D32E22</w:t>
            </w:r>
          </w:p>
        </w:tc>
        <w:tc>
          <w:tcPr/>
          <w:p>
            <w:pPr>
              <w:pStyle w:val="Compact"/>
              <w:jc w:val="left"/>
            </w:pPr>
            <w:r>
              <w:rPr>
                <w:b w:val="0"/>
                <w:color w:val="22303C"/>
                <w:sz w:val="18"/>
              </w:rPr>
              <w:t xml:space="preserve">Immediate tier, risk ≥ 80</w:t>
            </w:r>
          </w:p>
        </w:tc>
      </w:tr>
      <w:tr>
        <w:tc>
          <w:tcPr>
            <w:shd w:val="clear" w:color="auto" w:fill="EEF3F6"/>
          </w:tcPr>
          <w:p>
            <w:pPr>
              <w:pStyle w:val="Compact"/>
              <w:jc w:val="left"/>
            </w:pPr>
            <w:r>
              <w:rPr>
                <w:rStyle w:val="VerbatimChar"/>
                <w:b w:val="0"/>
                <w:color w:val="22303C"/>
                <w:sz w:val="18"/>
              </w:rPr>
              <w:t xml:space="preserve">--sev2</w:t>
            </w:r>
          </w:p>
        </w:tc>
        <w:tc>
          <w:tcPr>
            <w:shd w:val="clear" w:color="auto" w:fill="EEF3F6"/>
          </w:tcPr>
          <w:p>
            <w:pPr>
              <w:pStyle w:val="Compact"/>
              <w:jc w:val="left"/>
            </w:pPr>
            <w:r>
              <w:rPr>
                <w:rStyle w:val="VerbatimChar"/>
                <w:b w:val="0"/>
                <w:color w:val="22303C"/>
                <w:sz w:val="18"/>
              </w:rPr>
              <w:t xml:space="preserve">#ff5a1f</w:t>
            </w:r>
          </w:p>
        </w:tc>
        <w:tc>
          <w:tcPr>
            <w:shd w:val="clear" w:color="auto" w:fill="EEF3F6"/>
          </w:tcPr>
          <w:p>
            <w:pPr>
              <w:pStyle w:val="Compact"/>
              <w:jc w:val="left"/>
            </w:pPr>
            <w:r>
              <w:rPr>
                <w:rStyle w:val="VerbatimChar"/>
                <w:b w:val="0"/>
                <w:color w:val="22303C"/>
                <w:sz w:val="18"/>
              </w:rPr>
              <w:t xml:space="preserve">#D32E22</w:t>
            </w:r>
          </w:p>
        </w:tc>
        <w:tc>
          <w:tcPr>
            <w:shd w:val="clear" w:color="auto" w:fill="EEF3F6"/>
          </w:tcPr>
          <w:p>
            <w:pPr>
              <w:pStyle w:val="Compact"/>
              <w:jc w:val="left"/>
            </w:pPr>
            <w:r>
              <w:rPr>
                <w:b w:val="0"/>
                <w:color w:val="22303C"/>
                <w:sz w:val="18"/>
              </w:rPr>
              <w:t xml:space="preserve">Active alert, blocked route, risk 65–79</w:t>
            </w:r>
          </w:p>
        </w:tc>
      </w:tr>
      <w:tr>
        <w:tc>
          <w:tcPr/>
          <w:p>
            <w:pPr>
              <w:pStyle w:val="Compact"/>
              <w:jc w:val="left"/>
            </w:pPr>
            <w:r>
              <w:rPr>
                <w:rStyle w:val="VerbatimChar"/>
                <w:b w:val="0"/>
                <w:color w:val="22303C"/>
                <w:sz w:val="18"/>
              </w:rPr>
              <w:t xml:space="preserve">--sev3</w:t>
            </w:r>
          </w:p>
        </w:tc>
        <w:tc>
          <w:tcPr/>
          <w:p>
            <w:pPr>
              <w:pStyle w:val="Compact"/>
              <w:jc w:val="left"/>
            </w:pPr>
            <w:r>
              <w:rPr>
                <w:rStyle w:val="VerbatimChar"/>
                <w:b w:val="0"/>
                <w:color w:val="22303C"/>
                <w:sz w:val="18"/>
              </w:rPr>
              <w:t xml:space="preserve">#ffb300</w:t>
            </w:r>
          </w:p>
        </w:tc>
        <w:tc>
          <w:tcPr/>
          <w:p>
            <w:pPr>
              <w:pStyle w:val="Compact"/>
              <w:jc w:val="left"/>
            </w:pPr>
            <w:r>
              <w:rPr>
                <w:rStyle w:val="VerbatimChar"/>
                <w:b w:val="0"/>
                <w:color w:val="22303C"/>
                <w:sz w:val="18"/>
              </w:rPr>
              <w:t xml:space="preserve">#D98F1F</w:t>
            </w:r>
          </w:p>
        </w:tc>
        <w:tc>
          <w:tcPr/>
          <w:p>
            <w:pPr>
              <w:pStyle w:val="Compact"/>
              <w:jc w:val="left"/>
            </w:pPr>
            <w:r>
              <w:rPr>
                <w:b w:val="0"/>
                <w:color w:val="22303C"/>
                <w:sz w:val="18"/>
              </w:rPr>
              <w:t xml:space="preserve">Short-term tier, watch state, risk 45–64</w:t>
            </w:r>
          </w:p>
        </w:tc>
      </w:tr>
      <w:tr>
        <w:tc>
          <w:tcPr>
            <w:shd w:val="clear" w:color="auto" w:fill="EEF3F6"/>
          </w:tcPr>
          <w:p>
            <w:pPr>
              <w:pStyle w:val="Compact"/>
              <w:jc w:val="left"/>
            </w:pPr>
            <w:r>
              <w:rPr>
                <w:rStyle w:val="VerbatimChar"/>
                <w:b w:val="0"/>
                <w:color w:val="22303C"/>
                <w:sz w:val="18"/>
              </w:rPr>
              <w:t xml:space="preserve">--sev4</w:t>
            </w:r>
          </w:p>
        </w:tc>
        <w:tc>
          <w:tcPr>
            <w:shd w:val="clear" w:color="auto" w:fill="EEF3F6"/>
          </w:tcPr>
          <w:p>
            <w:pPr>
              <w:pStyle w:val="Compact"/>
              <w:jc w:val="left"/>
            </w:pPr>
            <w:r>
              <w:rPr>
                <w:rStyle w:val="VerbatimChar"/>
                <w:b w:val="0"/>
                <w:color w:val="22303C"/>
                <w:sz w:val="18"/>
              </w:rPr>
              <w:t xml:space="preserve">#a3e635</w:t>
            </w:r>
          </w:p>
        </w:tc>
        <w:tc>
          <w:tcPr>
            <w:shd w:val="clear" w:color="auto" w:fill="EEF3F6"/>
          </w:tcPr>
          <w:p>
            <w:pPr>
              <w:pStyle w:val="Compact"/>
              <w:jc w:val="left"/>
            </w:pPr>
            <w:r>
              <w:rPr>
                <w:rStyle w:val="VerbatimChar"/>
                <w:b w:val="0"/>
                <w:color w:val="22303C"/>
                <w:sz w:val="18"/>
              </w:rPr>
              <w:t xml:space="preserve">#C9A93A</w:t>
            </w:r>
          </w:p>
        </w:tc>
        <w:tc>
          <w:tcPr>
            <w:shd w:val="clear" w:color="auto" w:fill="EEF3F6"/>
          </w:tcPr>
          <w:p>
            <w:pPr>
              <w:pStyle w:val="Compact"/>
              <w:jc w:val="left"/>
            </w:pPr>
            <w:r>
              <w:rPr>
                <w:b w:val="0"/>
                <w:color w:val="22303C"/>
                <w:sz w:val="18"/>
              </w:rPr>
              <w:t xml:space="preserve">Medium-term tier, risk 28–44</w:t>
            </w:r>
          </w:p>
        </w:tc>
      </w:tr>
      <w:tr>
        <w:tc>
          <w:tcPr/>
          <w:p>
            <w:pPr>
              <w:pStyle w:val="Compact"/>
              <w:jc w:val="left"/>
            </w:pPr>
            <w:r>
              <w:rPr>
                <w:rStyle w:val="VerbatimChar"/>
                <w:b w:val="0"/>
                <w:color w:val="22303C"/>
                <w:sz w:val="18"/>
              </w:rPr>
              <w:t xml:space="preserve">--sev5</w:t>
            </w:r>
          </w:p>
        </w:tc>
        <w:tc>
          <w:tcPr/>
          <w:p>
            <w:pPr>
              <w:pStyle w:val="Compact"/>
              <w:jc w:val="left"/>
            </w:pPr>
            <w:r>
              <w:rPr>
                <w:rStyle w:val="VerbatimChar"/>
                <w:b w:val="0"/>
                <w:color w:val="22303C"/>
                <w:sz w:val="18"/>
              </w:rPr>
              <w:t xml:space="preserve">#00ff80</w:t>
            </w:r>
          </w:p>
        </w:tc>
        <w:tc>
          <w:tcPr/>
          <w:p>
            <w:pPr>
              <w:pStyle w:val="Compact"/>
              <w:jc w:val="left"/>
            </w:pPr>
            <w:r>
              <w:rPr>
                <w:rStyle w:val="VerbatimChar"/>
                <w:b w:val="0"/>
                <w:color w:val="22303C"/>
                <w:sz w:val="18"/>
              </w:rPr>
              <w:t xml:space="preserve">#2E8A7D</w:t>
            </w:r>
          </w:p>
        </w:tc>
        <w:tc>
          <w:tcPr/>
          <w:p>
            <w:pPr>
              <w:pStyle w:val="Compact"/>
              <w:jc w:val="left"/>
            </w:pPr>
            <w:r>
              <w:rPr>
                <w:b w:val="0"/>
                <w:color w:val="22303C"/>
                <w:sz w:val="18"/>
              </w:rPr>
              <w:t xml:space="preserve">Verified, all-clear, live status, risk &lt; 28</w:t>
            </w:r>
          </w:p>
        </w:tc>
      </w:tr>
    </w:tbl>
    <w:p>
      <w:pPr>
        <w:pStyle w:val="BodyText"/>
      </w:pPr>
      <w:r>
        <w:t xml:space="preserve">Each severity step also carries a matched</w:t>
      </w:r>
      <w:r>
        <w:t xml:space="preserve"> </w:t>
      </w:r>
      <w:r>
        <w:rPr>
          <w:bCs/>
          <w:b/>
        </w:rPr>
        <w:t xml:space="preserve">ink</w:t>
      </w:r>
      <w:r>
        <w:t xml:space="preserve"> </w:t>
      </w:r>
      <w:r>
        <w:t xml:space="preserve">and</w:t>
      </w:r>
      <w:r>
        <w:t xml:space="preserve"> </w:t>
      </w:r>
      <w:r>
        <w:rPr>
          <w:bCs/>
          <w:b/>
        </w:rPr>
        <w:t xml:space="preserve">surface</w:t>
      </w:r>
      <w:r>
        <w:t xml:space="preserve"> </w:t>
      </w:r>
      <w:r>
        <w:t xml:space="preserve">pair (</w:t>
      </w:r>
      <w:r>
        <w:rPr>
          <w:rStyle w:val="VerbatimChar"/>
        </w:rPr>
        <w:t xml:space="preserve">--sev2Ink</w:t>
      </w:r>
      <w:r>
        <w:t xml:space="preserve">,</w:t>
      </w:r>
      <w:r>
        <w:t xml:space="preserve"> </w:t>
      </w:r>
      <w:r>
        <w:rPr>
          <w:rStyle w:val="VerbatimChar"/>
        </w:rPr>
        <w:t xml:space="preserve">--t1Bg</w:t>
      </w:r>
      <w:r>
        <w:t xml:space="preserve">/</w:t>
      </w:r>
      <w:r>
        <w:rPr>
          <w:rStyle w:val="VerbatimChar"/>
        </w:rPr>
        <w:t xml:space="preserve">--t1Border</w:t>
      </w:r>
      <w:r>
        <w:t xml:space="preserve">,</w:t>
      </w:r>
      <w:r>
        <w:t xml:space="preserve"> </w:t>
      </w:r>
      <w:r>
        <w:rPr>
          <w:rStyle w:val="VerbatimChar"/>
        </w:rPr>
        <w:t xml:space="preserve">--okBg</w:t>
      </w:r>
      <w:r>
        <w:t xml:space="preserve">/</w:t>
      </w:r>
      <w:r>
        <w:rPr>
          <w:rStyle w:val="VerbatimChar"/>
        </w:rPr>
        <w:t xml:space="preserve">--okBorder</w:t>
      </w:r>
      <w:r>
        <w:t xml:space="preserve">) so a tier can be rendered as a filled chip without a per-screen contrast decision.</w:t>
      </w:r>
    </w:p>
    <w:bookmarkEnd w:id="24"/>
    <w:bookmarkStart w:id="25" w:name="accent-brand-and-domain-colour"/>
    <w:p>
      <w:pPr>
        <w:pStyle w:val="Heading2"/>
      </w:pPr>
      <w:r>
        <w:t xml:space="preserve">2.4 Accent, brand and domain colour</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tblGrid>
      <w:tr>
        <w:trPr>
          <w:tblHeader w:val="true"/>
          <w:tblHeader w:val="true"/>
        </w:trPr>
        <w:tc>
          <w:tcPr>
            <w:shd w:val="clear" w:color="auto" w:fill="1F3A5F"/>
          </w:tcPr>
          <w:p>
            <w:pPr>
              <w:pStyle w:val="Compact"/>
              <w:jc w:val="left"/>
            </w:pPr>
            <w:r>
              <w:rPr>
                <w:b/>
                <w:color w:val="FFFFFF"/>
                <w:sz w:val="19"/>
              </w:rPr>
              <w:t xml:space="preserve">Token</w:t>
            </w:r>
          </w:p>
        </w:tc>
        <w:tc>
          <w:tcPr>
            <w:shd w:val="clear" w:color="auto" w:fill="1F3A5F"/>
          </w:tcPr>
          <w:p>
            <w:pPr>
              <w:pStyle w:val="Compact"/>
              <w:jc w:val="left"/>
            </w:pPr>
            <w:r>
              <w:rPr>
                <w:b/>
                <w:color w:val="FFFFFF"/>
                <w:sz w:val="19"/>
              </w:rPr>
              <w:t xml:space="preserve">Dark</w:t>
            </w:r>
          </w:p>
        </w:tc>
        <w:tc>
          <w:tcPr>
            <w:shd w:val="clear" w:color="auto" w:fill="1F3A5F"/>
          </w:tcPr>
          <w:p>
            <w:pPr>
              <w:pStyle w:val="Compact"/>
              <w:jc w:val="left"/>
            </w:pPr>
            <w:r>
              <w:rPr>
                <w:b/>
                <w:color w:val="FFFFFF"/>
                <w:sz w:val="19"/>
              </w:rPr>
              <w:t xml:space="preserve">Light</w:t>
            </w:r>
          </w:p>
        </w:tc>
        <w:tc>
          <w:tcPr>
            <w:shd w:val="clear" w:color="auto" w:fill="1F3A5F"/>
          </w:tcPr>
          <w:p>
            <w:pPr>
              <w:pStyle w:val="Compact"/>
              <w:jc w:val="left"/>
            </w:pPr>
            <w:r>
              <w:rPr>
                <w:b/>
                <w:color w:val="FFFFFF"/>
                <w:sz w:val="19"/>
              </w:rPr>
              <w:t xml:space="preserve">Role</w:t>
            </w:r>
          </w:p>
        </w:tc>
      </w:tr>
      <w:tr>
        <w:tc>
          <w:tcPr/>
          <w:p>
            <w:pPr>
              <w:pStyle w:val="Compact"/>
              <w:jc w:val="left"/>
            </w:pPr>
            <w:r>
              <w:rPr>
                <w:rStyle w:val="VerbatimChar"/>
                <w:b w:val="0"/>
                <w:color w:val="22303C"/>
                <w:sz w:val="18"/>
              </w:rPr>
              <w:t xml:space="preserve">--accent</w:t>
            </w:r>
          </w:p>
        </w:tc>
        <w:tc>
          <w:tcPr/>
          <w:p>
            <w:pPr>
              <w:pStyle w:val="Compact"/>
              <w:jc w:val="left"/>
            </w:pPr>
            <w:r>
              <w:rPr>
                <w:rStyle w:val="VerbatimChar"/>
                <w:b w:val="0"/>
                <w:color w:val="22303C"/>
                <w:sz w:val="18"/>
              </w:rPr>
              <w:t xml:space="preserve">#06BEE1</w:t>
            </w:r>
          </w:p>
        </w:tc>
        <w:tc>
          <w:tcPr/>
          <w:p>
            <w:pPr>
              <w:pStyle w:val="Compact"/>
              <w:jc w:val="left"/>
            </w:pPr>
            <w:r>
              <w:rPr>
                <w:rStyle w:val="VerbatimChar"/>
                <w:b w:val="0"/>
                <w:color w:val="22303C"/>
                <w:sz w:val="18"/>
              </w:rPr>
              <w:t xml:space="preserve">#2F6FE0</w:t>
            </w:r>
          </w:p>
        </w:tc>
        <w:tc>
          <w:tcPr/>
          <w:p>
            <w:pPr>
              <w:pStyle w:val="Compact"/>
              <w:jc w:val="left"/>
            </w:pPr>
            <w:r>
              <w:rPr>
                <w:b w:val="0"/>
                <w:color w:val="22303C"/>
                <w:sz w:val="18"/>
              </w:rPr>
              <w:t xml:space="preserve">Selection, focus, primary action, computed-score emphasis</w:t>
            </w:r>
          </w:p>
        </w:tc>
      </w:tr>
      <w:tr>
        <w:tc>
          <w:tcPr>
            <w:shd w:val="clear" w:color="auto" w:fill="EEF3F6"/>
          </w:tcPr>
          <w:p>
            <w:pPr>
              <w:pStyle w:val="Compact"/>
              <w:jc w:val="left"/>
            </w:pPr>
            <w:r>
              <w:rPr>
                <w:rStyle w:val="VerbatimChar"/>
                <w:b w:val="0"/>
                <w:color w:val="22303C"/>
                <w:sz w:val="18"/>
              </w:rPr>
              <w:t xml:space="preserve">--brandDeep</w:t>
            </w:r>
          </w:p>
        </w:tc>
        <w:tc>
          <w:tcPr>
            <w:shd w:val="clear" w:color="auto" w:fill="EEF3F6"/>
          </w:tcPr>
          <w:p>
            <w:pPr>
              <w:pStyle w:val="Compact"/>
              <w:jc w:val="left"/>
            </w:pPr>
            <w:r>
              <w:rPr>
                <w:rStyle w:val="VerbatimChar"/>
                <w:b w:val="0"/>
                <w:color w:val="22303C"/>
                <w:sz w:val="18"/>
              </w:rPr>
              <w:t xml:space="preserve">#002962</w:t>
            </w:r>
            <w:r>
              <w:rPr>
                <w:b w:val="0"/>
                <w:color w:val="22303C"/>
                <w:sz w:val="18"/>
              </w:rPr>
              <w:t xml:space="preserve"> </w:t>
            </w:r>
            <w:r>
              <w:rPr>
                <w:b w:val="0"/>
                <w:color w:val="22303C"/>
                <w:sz w:val="18"/>
              </w:rPr>
              <w:t xml:space="preserve">(Imperial Blue)</w:t>
            </w:r>
          </w:p>
        </w:tc>
        <w:tc>
          <w:tcPr>
            <w:shd w:val="clear" w:color="auto" w:fill="EEF3F6"/>
          </w:tcPr>
          <w:p>
            <w:pPr>
              <w:pStyle w:val="Compact"/>
              <w:jc w:val="left"/>
            </w:pPr>
            <w:r>
              <w:rPr>
                <w:rStyle w:val="VerbatimChar"/>
                <w:b w:val="0"/>
                <w:color w:val="22303C"/>
                <w:sz w:val="18"/>
              </w:rPr>
              <w:t xml:space="preserve">#2F6FE0</w:t>
            </w:r>
          </w:p>
        </w:tc>
        <w:tc>
          <w:tcPr>
            <w:shd w:val="clear" w:color="auto" w:fill="EEF3F6"/>
          </w:tcPr>
          <w:p>
            <w:pPr>
              <w:pStyle w:val="Compact"/>
              <w:jc w:val="left"/>
            </w:pPr>
            <w:r>
              <w:rPr>
                <w:b w:val="0"/>
                <w:color w:val="22303C"/>
                <w:sz w:val="18"/>
              </w:rPr>
              <w:t xml:space="preserve">Product mark</w:t>
            </w:r>
          </w:p>
        </w:tc>
      </w:tr>
      <w:tr>
        <w:tc>
          <w:tcPr/>
          <w:p>
            <w:pPr>
              <w:pStyle w:val="Compact"/>
              <w:jc w:val="left"/>
            </w:pPr>
            <w:r>
              <w:rPr>
                <w:rStyle w:val="VerbatimChar"/>
                <w:b w:val="0"/>
                <w:color w:val="22303C"/>
                <w:sz w:val="18"/>
              </w:rPr>
              <w:t xml:space="preserve">--blue</w:t>
            </w:r>
          </w:p>
        </w:tc>
        <w:tc>
          <w:tcPr/>
          <w:p>
            <w:pPr>
              <w:pStyle w:val="Compact"/>
              <w:jc w:val="left"/>
            </w:pPr>
            <w:r>
              <w:rPr>
                <w:rStyle w:val="VerbatimChar"/>
                <w:b w:val="0"/>
                <w:color w:val="22303C"/>
                <w:sz w:val="18"/>
              </w:rPr>
              <w:t xml:space="preserve">#2541B2</w:t>
            </w:r>
          </w:p>
        </w:tc>
        <w:tc>
          <w:tcPr/>
          <w:p>
            <w:pPr>
              <w:pStyle w:val="Compact"/>
              <w:jc w:val="left"/>
            </w:pPr>
            <w:r>
              <w:rPr>
                <w:rStyle w:val="VerbatimChar"/>
                <w:b w:val="0"/>
                <w:color w:val="22303C"/>
                <w:sz w:val="18"/>
              </w:rPr>
              <w:t xml:space="preserve">#2F6FE0</w:t>
            </w:r>
          </w:p>
        </w:tc>
        <w:tc>
          <w:tcPr/>
          <w:p>
            <w:pPr>
              <w:pStyle w:val="Compact"/>
              <w:jc w:val="left"/>
            </w:pPr>
            <w:r>
              <w:rPr>
                <w:b w:val="0"/>
                <w:color w:val="22303C"/>
                <w:sz w:val="18"/>
              </w:rPr>
              <w:t xml:space="preserve">Informational state (in-progress, pending approval)</w:t>
            </w:r>
          </w:p>
        </w:tc>
      </w:tr>
      <w:tr>
        <w:tc>
          <w:tcPr>
            <w:shd w:val="clear" w:color="auto" w:fill="EEF3F6"/>
          </w:tcPr>
          <w:p>
            <w:pPr>
              <w:pStyle w:val="Compact"/>
              <w:jc w:val="left"/>
            </w:pPr>
            <w:r>
              <w:rPr>
                <w:rStyle w:val="VerbatimChar"/>
                <w:b w:val="0"/>
                <w:color w:val="22303C"/>
                <w:sz w:val="18"/>
              </w:rPr>
              <w:t xml:space="preserve">--ocean</w:t>
            </w:r>
          </w:p>
        </w:tc>
        <w:tc>
          <w:tcPr>
            <w:shd w:val="clear" w:color="auto" w:fill="EEF3F6"/>
          </w:tcPr>
          <w:p>
            <w:pPr>
              <w:pStyle w:val="Compact"/>
              <w:jc w:val="left"/>
            </w:pPr>
            <w:r>
              <w:rPr>
                <w:rStyle w:val="VerbatimChar"/>
                <w:b w:val="0"/>
                <w:color w:val="22303C"/>
                <w:sz w:val="18"/>
              </w:rPr>
              <w:t xml:space="preserve">#1768AC</w:t>
            </w:r>
          </w:p>
        </w:tc>
        <w:tc>
          <w:tcPr>
            <w:shd w:val="clear" w:color="auto" w:fill="EEF3F6"/>
          </w:tcPr>
          <w:p>
            <w:pPr>
              <w:pStyle w:val="Compact"/>
              <w:jc w:val="left"/>
            </w:pPr>
            <w:r>
              <w:rPr>
                <w:rStyle w:val="VerbatimChar"/>
                <w:b w:val="0"/>
                <w:color w:val="22303C"/>
                <w:sz w:val="18"/>
              </w:rPr>
              <w:t xml:space="preserve">#2F6FE0</w:t>
            </w:r>
          </w:p>
        </w:tc>
        <w:tc>
          <w:tcPr>
            <w:shd w:val="clear" w:color="auto" w:fill="EEF3F6"/>
          </w:tcPr>
          <w:p>
            <w:pPr>
              <w:pStyle w:val="Compact"/>
              <w:jc w:val="left"/>
            </w:pPr>
            <w:r>
              <w:rPr>
                <w:b w:val="0"/>
                <w:color w:val="22303C"/>
                <w:sz w:val="18"/>
              </w:rPr>
              <w:t xml:space="preserve">Non-semantic data bars (factor contributions, occupancy)</w:t>
            </w:r>
          </w:p>
        </w:tc>
      </w:tr>
    </w:tbl>
    <w:p>
      <w:pPr>
        <w:pStyle w:val="BodyText"/>
      </w:pPr>
      <w:r>
        <w:rPr>
          <w:rStyle w:val="VerbatimChar"/>
        </w:rPr>
        <w:t xml:space="preserve">--accent</w:t>
      </w:r>
      <w:r>
        <w:t xml:space="preserve"> </w:t>
      </w:r>
      <w:r>
        <w:t xml:space="preserve">deliberately stays a cool cyan rather than following the ground/risk colours into full saturation — selection and focus still need to read as distinct from danger, per §2.5’s remaining argument on that one point.</w:t>
      </w:r>
    </w:p>
    <w:p>
      <w:pPr>
        <w:pStyle w:val="BodyText"/>
      </w:pPr>
      <w:r>
        <w:t xml:space="preserve">Hazard-type colours are categorical, not severity — a flood zone is not</w:t>
      </w:r>
      <w:r>
        <w:t xml:space="preserve"> </w:t>
      </w:r>
      <w:r>
        <w:t xml:space="preserve">“</w:t>
      </w:r>
      <w:r>
        <w:t xml:space="preserve">worse</w:t>
      </w:r>
      <w:r>
        <w:t xml:space="preserve">”</w:t>
      </w:r>
      <w:r>
        <w:t xml:space="preserve"> </w:t>
      </w:r>
      <w:r>
        <w:t xml:space="preserve">than a landslide zone:</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tblGrid>
      <w:tr>
        <w:trPr>
          <w:tblHeader w:val="true"/>
          <w:tblHeader w:val="true"/>
        </w:trPr>
        <w:tc>
          <w:tcPr>
            <w:shd w:val="clear" w:color="auto" w:fill="1F3A5F"/>
          </w:tcPr>
          <w:p>
            <w:pPr>
              <w:pStyle w:val="Compact"/>
              <w:jc w:val="left"/>
            </w:pPr>
            <w:r>
              <w:rPr>
                <w:b/>
                <w:color w:val="FFFFFF"/>
                <w:sz w:val="19"/>
              </w:rPr>
              <w:t xml:space="preserve">Token</w:t>
            </w:r>
          </w:p>
        </w:tc>
        <w:tc>
          <w:tcPr>
            <w:shd w:val="clear" w:color="auto" w:fill="1F3A5F"/>
          </w:tcPr>
          <w:p>
            <w:pPr>
              <w:pStyle w:val="Compact"/>
              <w:jc w:val="left"/>
            </w:pPr>
            <w:r>
              <w:rPr>
                <w:b/>
                <w:color w:val="FFFFFF"/>
                <w:sz w:val="19"/>
              </w:rPr>
              <w:t xml:space="preserve">Dark</w:t>
            </w:r>
          </w:p>
        </w:tc>
        <w:tc>
          <w:tcPr>
            <w:shd w:val="clear" w:color="auto" w:fill="1F3A5F"/>
          </w:tcPr>
          <w:p>
            <w:pPr>
              <w:pStyle w:val="Compact"/>
              <w:jc w:val="left"/>
            </w:pPr>
            <w:r>
              <w:rPr>
                <w:b/>
                <w:color w:val="FFFFFF"/>
                <w:sz w:val="19"/>
              </w:rPr>
              <w:t xml:space="preserve">Light</w:t>
            </w:r>
          </w:p>
        </w:tc>
        <w:tc>
          <w:tcPr>
            <w:shd w:val="clear" w:color="auto" w:fill="1F3A5F"/>
          </w:tcPr>
          <w:p>
            <w:pPr>
              <w:pStyle w:val="Compact"/>
              <w:jc w:val="left"/>
            </w:pPr>
            <w:r>
              <w:rPr>
                <w:b/>
                <w:color w:val="FFFFFF"/>
                <w:sz w:val="19"/>
              </w:rPr>
              <w:t xml:space="preserve">Hazard</w:t>
            </w:r>
          </w:p>
        </w:tc>
      </w:tr>
      <w:tr>
        <w:tc>
          <w:tcPr/>
          <w:p>
            <w:pPr>
              <w:pStyle w:val="Compact"/>
              <w:jc w:val="left"/>
            </w:pPr>
            <w:r>
              <w:rPr>
                <w:rStyle w:val="VerbatimChar"/>
                <w:b w:val="0"/>
                <w:color w:val="22303C"/>
                <w:sz w:val="18"/>
              </w:rPr>
              <w:t xml:space="preserve">--hzFlood</w:t>
            </w:r>
          </w:p>
        </w:tc>
        <w:tc>
          <w:tcPr/>
          <w:p>
            <w:pPr>
              <w:pStyle w:val="Compact"/>
              <w:jc w:val="left"/>
            </w:pPr>
            <w:r>
              <w:rPr>
                <w:rStyle w:val="VerbatimChar"/>
                <w:b w:val="0"/>
                <w:color w:val="22303C"/>
                <w:sz w:val="18"/>
              </w:rPr>
              <w:t xml:space="preserve">#7FB0EE</w:t>
            </w:r>
          </w:p>
        </w:tc>
        <w:tc>
          <w:tcPr/>
          <w:p>
            <w:pPr>
              <w:pStyle w:val="Compact"/>
              <w:jc w:val="left"/>
            </w:pPr>
            <w:r>
              <w:rPr>
                <w:rStyle w:val="VerbatimChar"/>
                <w:b w:val="0"/>
                <w:color w:val="22303C"/>
                <w:sz w:val="18"/>
              </w:rPr>
              <w:t xml:space="preserve">#2C68B8</w:t>
            </w:r>
          </w:p>
        </w:tc>
        <w:tc>
          <w:tcPr/>
          <w:p>
            <w:pPr>
              <w:pStyle w:val="Compact"/>
              <w:jc w:val="left"/>
            </w:pPr>
            <w:r>
              <w:rPr>
                <w:b w:val="0"/>
                <w:color w:val="22303C"/>
                <w:sz w:val="18"/>
              </w:rPr>
              <w:t xml:space="preserve">Flood</w:t>
            </w:r>
          </w:p>
        </w:tc>
      </w:tr>
      <w:tr>
        <w:tc>
          <w:tcPr>
            <w:shd w:val="clear" w:color="auto" w:fill="EEF3F6"/>
          </w:tcPr>
          <w:p>
            <w:pPr>
              <w:pStyle w:val="Compact"/>
              <w:jc w:val="left"/>
            </w:pPr>
            <w:r>
              <w:rPr>
                <w:rStyle w:val="VerbatimChar"/>
                <w:b w:val="0"/>
                <w:color w:val="22303C"/>
                <w:sz w:val="18"/>
              </w:rPr>
              <w:t xml:space="preserve">--hzSlide</w:t>
            </w:r>
          </w:p>
        </w:tc>
        <w:tc>
          <w:tcPr>
            <w:shd w:val="clear" w:color="auto" w:fill="EEF3F6"/>
          </w:tcPr>
          <w:p>
            <w:pPr>
              <w:pStyle w:val="Compact"/>
              <w:jc w:val="left"/>
            </w:pPr>
            <w:r>
              <w:rPr>
                <w:rStyle w:val="VerbatimChar"/>
                <w:b w:val="0"/>
                <w:color w:val="22303C"/>
                <w:sz w:val="18"/>
              </w:rPr>
              <w:t xml:space="preserve">#C79A6B</w:t>
            </w:r>
          </w:p>
        </w:tc>
        <w:tc>
          <w:tcPr>
            <w:shd w:val="clear" w:color="auto" w:fill="EEF3F6"/>
          </w:tcPr>
          <w:p>
            <w:pPr>
              <w:pStyle w:val="Compact"/>
              <w:jc w:val="left"/>
            </w:pPr>
            <w:r>
              <w:rPr>
                <w:rStyle w:val="VerbatimChar"/>
                <w:b w:val="0"/>
                <w:color w:val="22303C"/>
                <w:sz w:val="18"/>
              </w:rPr>
              <w:t xml:space="preserve">#7D5530</w:t>
            </w:r>
          </w:p>
        </w:tc>
        <w:tc>
          <w:tcPr>
            <w:shd w:val="clear" w:color="auto" w:fill="EEF3F6"/>
          </w:tcPr>
          <w:p>
            <w:pPr>
              <w:pStyle w:val="Compact"/>
              <w:jc w:val="left"/>
            </w:pPr>
            <w:r>
              <w:rPr>
                <w:b w:val="0"/>
                <w:color w:val="22303C"/>
                <w:sz w:val="18"/>
              </w:rPr>
              <w:t xml:space="preserve">Landslide</w:t>
            </w:r>
          </w:p>
        </w:tc>
      </w:tr>
      <w:tr>
        <w:tc>
          <w:tcPr/>
          <w:p>
            <w:pPr>
              <w:pStyle w:val="Compact"/>
              <w:jc w:val="left"/>
            </w:pPr>
            <w:r>
              <w:rPr>
                <w:rStyle w:val="VerbatimChar"/>
                <w:b w:val="0"/>
                <w:color w:val="22303C"/>
                <w:sz w:val="18"/>
              </w:rPr>
              <w:t xml:space="preserve">--hzBurst</w:t>
            </w:r>
          </w:p>
        </w:tc>
        <w:tc>
          <w:tcPr/>
          <w:p>
            <w:pPr>
              <w:pStyle w:val="Compact"/>
              <w:jc w:val="left"/>
            </w:pPr>
            <w:r>
              <w:rPr>
                <w:rStyle w:val="VerbatimChar"/>
                <w:b w:val="0"/>
                <w:color w:val="22303C"/>
                <w:sz w:val="18"/>
              </w:rPr>
              <w:t xml:space="preserve">#A996E8</w:t>
            </w:r>
          </w:p>
        </w:tc>
        <w:tc>
          <w:tcPr/>
          <w:p>
            <w:pPr>
              <w:pStyle w:val="Compact"/>
              <w:jc w:val="left"/>
            </w:pPr>
            <w:r>
              <w:rPr>
                <w:rStyle w:val="VerbatimChar"/>
                <w:b w:val="0"/>
                <w:color w:val="22303C"/>
                <w:sz w:val="18"/>
              </w:rPr>
              <w:t xml:space="preserve">#6A4FB0</w:t>
            </w:r>
          </w:p>
        </w:tc>
        <w:tc>
          <w:tcPr/>
          <w:p>
            <w:pPr>
              <w:pStyle w:val="Compact"/>
              <w:jc w:val="left"/>
            </w:pPr>
            <w:r>
              <w:rPr>
                <w:b w:val="0"/>
                <w:color w:val="22303C"/>
                <w:sz w:val="18"/>
              </w:rPr>
              <w:t xml:space="preserve">Cloudburst / extreme rainfall</w:t>
            </w:r>
          </w:p>
        </w:tc>
      </w:tr>
      <w:tr>
        <w:tc>
          <w:tcPr>
            <w:shd w:val="clear" w:color="auto" w:fill="EEF3F6"/>
          </w:tcPr>
          <w:p>
            <w:pPr>
              <w:pStyle w:val="Compact"/>
              <w:jc w:val="left"/>
            </w:pPr>
            <w:r>
              <w:rPr>
                <w:rStyle w:val="VerbatimChar"/>
                <w:b w:val="0"/>
                <w:color w:val="22303C"/>
                <w:sz w:val="18"/>
              </w:rPr>
              <w:t xml:space="preserve">--hzCoast</w:t>
            </w:r>
          </w:p>
        </w:tc>
        <w:tc>
          <w:tcPr>
            <w:shd w:val="clear" w:color="auto" w:fill="EEF3F6"/>
          </w:tcPr>
          <w:p>
            <w:pPr>
              <w:pStyle w:val="Compact"/>
              <w:jc w:val="left"/>
            </w:pPr>
            <w:r>
              <w:rPr>
                <w:rStyle w:val="VerbatimChar"/>
                <w:b w:val="0"/>
                <w:color w:val="22303C"/>
                <w:sz w:val="18"/>
              </w:rPr>
              <w:t xml:space="preserve">#6FCFC7</w:t>
            </w:r>
          </w:p>
        </w:tc>
        <w:tc>
          <w:tcPr>
            <w:shd w:val="clear" w:color="auto" w:fill="EEF3F6"/>
          </w:tcPr>
          <w:p>
            <w:pPr>
              <w:pStyle w:val="Compact"/>
              <w:jc w:val="left"/>
            </w:pPr>
            <w:r>
              <w:rPr>
                <w:rStyle w:val="VerbatimChar"/>
                <w:b w:val="0"/>
                <w:color w:val="22303C"/>
                <w:sz w:val="18"/>
              </w:rPr>
              <w:t xml:space="preserve">#268888</w:t>
            </w:r>
          </w:p>
        </w:tc>
        <w:tc>
          <w:tcPr>
            <w:shd w:val="clear" w:color="auto" w:fill="EEF3F6"/>
          </w:tcPr>
          <w:p>
            <w:pPr>
              <w:pStyle w:val="Compact"/>
              <w:jc w:val="left"/>
            </w:pPr>
            <w:r>
              <w:rPr>
                <w:b w:val="0"/>
                <w:color w:val="22303C"/>
                <w:sz w:val="18"/>
              </w:rPr>
              <w:t xml:space="preserve">Coastal erosion</w:t>
            </w:r>
          </w:p>
        </w:tc>
      </w:tr>
    </w:tbl>
    <w:bookmarkEnd w:id="25"/>
    <w:bookmarkStart w:id="26" w:name="Xa9a7ea6aaaa0b8d4a1ef8847ddfdac4a584c520"/>
    <w:p>
      <w:pPr>
        <w:pStyle w:val="Heading2"/>
      </w:pPr>
      <w:r>
        <w:t xml:space="preserve">2.5 On full saturation, and the trade-off it carries</w:t>
      </w:r>
    </w:p>
    <w:p>
      <w:pPr>
        <w:pStyle w:val="FirstParagraph"/>
      </w:pPr>
      <w:r>
        <w:t xml:space="preserve">v2 of this document argued against a full-saturation ramp: at full chroma,</w:t>
      </w:r>
      <w:r>
        <w:t xml:space="preserve"> </w:t>
      </w:r>
      <w:r>
        <w:rPr>
          <w:rStyle w:val="VerbatimChar"/>
        </w:rPr>
        <w:t xml:space="preserve">#ff002b</w:t>
      </w:r>
      <w:r>
        <w:t xml:space="preserve">,</w:t>
      </w:r>
      <w:r>
        <w:t xml:space="preserve"> </w:t>
      </w:r>
      <w:r>
        <w:rPr>
          <w:rStyle w:val="VerbatimChar"/>
        </w:rPr>
        <w:t xml:space="preserve">#ff5a1f</w:t>
      </w:r>
      <w:r>
        <w:t xml:space="preserve">/</w:t>
      </w:r>
      <w:r>
        <w:rPr>
          <w:rStyle w:val="VerbatimChar"/>
        </w:rPr>
        <w:t xml:space="preserve">#ff8800</w:t>
      </w:r>
      <w:r>
        <w:t xml:space="preserve"> </w:t>
      </w:r>
      <w:r>
        <w:t xml:space="preserve">and</w:t>
      </w:r>
      <w:r>
        <w:t xml:space="preserve"> </w:t>
      </w:r>
      <w:r>
        <w:rPr>
          <w:rStyle w:val="VerbatimChar"/>
        </w:rPr>
        <w:t xml:space="preserve">#00ff80</w:t>
      </w:r>
      <w:r>
        <w:t xml:space="preserve"> </w:t>
      </w:r>
      <w:r>
        <w:t xml:space="preserve">compete for attention equally, so nothing reads as more urgent than anything else and the danger signal risks being spent everywhere at once. That argument still holds as a general design principle, and the reasoning is kept here rather than deleted, because it is exactly what the next person adding a colour to this ramp needs to weigh.</w:t>
      </w:r>
    </w:p>
    <w:p>
      <w:pPr>
        <w:pStyle w:val="BodyText"/>
      </w:pPr>
      <w:r>
        <w:t xml:space="preserve">v3 reverts to full saturation anyway, by explicit product decision (§1). The mitigation is that</w:t>
      </w:r>
      <w:r>
        <w:t xml:space="preserve"> </w:t>
      </w:r>
      <w:r>
        <w:rPr>
          <w:rStyle w:val="VerbatimChar"/>
        </w:rPr>
        <w:t xml:space="preserve">--sev1</w:t>
      </w:r>
      <w:r>
        <w:t xml:space="preserve">→</w:t>
      </w:r>
      <w:r>
        <w:rPr>
          <w:rStyle w:val="VerbatimChar"/>
        </w:rPr>
        <w:t xml:space="preserve">--sev5</w:t>
      </w:r>
      <w:r>
        <w:t xml:space="preserve"> </w:t>
      </w:r>
      <w:r>
        <w:t xml:space="preserve">still varies</w:t>
      </w:r>
      <w:r>
        <w:t xml:space="preserve"> </w:t>
      </w:r>
      <w:r>
        <w:rPr>
          <w:bCs/>
          <w:b/>
        </w:rPr>
        <w:t xml:space="preserve">lightness and hue</w:t>
      </w:r>
      <w:r>
        <w:t xml:space="preserve"> </w:t>
      </w:r>
      <w:r>
        <w:t xml:space="preserve">together, not just chroma — Racing Red, then a red-orange, then amber, then lime, then bright green — so the progression is still legible as a sequence even at maximum saturation; it’s a louder version of the same ramp shape, not five unrelated warning colours.</w:t>
      </w:r>
      <w:r>
        <w:t xml:space="preserve"> </w:t>
      </w:r>
      <w:r>
        <w:rPr>
          <w:rStyle w:val="VerbatimChar"/>
        </w:rPr>
        <w:t xml:space="preserve">--accent</w:t>
      </w:r>
      <w:r>
        <w:t xml:space="preserve"> </w:t>
      </w:r>
      <w:r>
        <w:t xml:space="preserve">staying a cool cyan (§2.4) rather than joining the red end is what still keeps selection/focus distinguishable from danger under this louder palette.</w:t>
      </w:r>
    </w:p>
    <w:p>
      <w:pPr>
        <w:pStyle w:val="BodyText"/>
      </w:pPr>
      <w:r>
        <w:t xml:space="preserve">The WCAG contrast validation this section previously described (</w:t>
      </w:r>
      <w:r>
        <w:rPr>
          <w:rStyle w:val="VerbatimChar"/>
        </w:rPr>
        <w:t xml:space="preserve">contrast()</w:t>
      </w:r>
      <w:r>
        <w:t xml:space="preserve">,</w:t>
      </w:r>
      <w:r>
        <w:t xml:space="preserve"> </w:t>
      </w:r>
      <w:r>
        <w:rPr>
          <w:rStyle w:val="VerbatimChar"/>
        </w:rPr>
        <w:t xml:space="preserve">textInk()</w:t>
      </w:r>
      <w:r>
        <w:t xml:space="preserve">,</w:t>
      </w:r>
      <w:r>
        <w:t xml:space="preserve"> </w:t>
      </w:r>
      <w:r>
        <w:rPr>
          <w:rStyle w:val="VerbatimChar"/>
        </w:rPr>
        <w:t xml:space="preserve">safeFill()</w:t>
      </w:r>
      <w:r>
        <w:t xml:space="preserve"> </w:t>
      </w:r>
      <w:r>
        <w:t xml:space="preserve">computing a 4.8:1 minimum at render time) was a property of the v2 palette’s design, not of this codebase — it has not been re-run against the v3 tokens above. Whoever next touches this ramp should treat that validation as owed, not already done: full-saturation fills are more likely to fail a contrast check against light text than the muted v2 ramp was, particularly</w:t>
      </w:r>
      <w:r>
        <w:t xml:space="preserve"> </w:t>
      </w:r>
      <w:r>
        <w:rPr>
          <w:rStyle w:val="VerbatimChar"/>
        </w:rPr>
        <w:t xml:space="preserve">--sev4</w:t>
      </w:r>
      <w:r>
        <w:t xml:space="preserve">/</w:t>
      </w:r>
      <w:r>
        <w:rPr>
          <w:rStyle w:val="VerbatimChar"/>
        </w:rPr>
        <w:t xml:space="preserve">--sev5</w:t>
      </w:r>
      <w:r>
        <w:t xml:space="preserve"> </w:t>
      </w:r>
      <w:r>
        <w:t xml:space="preserve">against</w:t>
      </w:r>
      <w:r>
        <w:t xml:space="preserve"> </w:t>
      </w:r>
      <w:r>
        <w:rPr>
          <w:rStyle w:val="VerbatimChar"/>
        </w:rPr>
        <w:t xml:space="preserve">--ink</w:t>
      </w:r>
      <w:r>
        <w:t xml:space="preserve">.</w:t>
      </w:r>
    </w:p>
    <w:bookmarkEnd w:id="26"/>
    <w:bookmarkStart w:id="27" w:name="colour-blind-safe-variant"/>
    <w:p>
      <w:pPr>
        <w:pStyle w:val="Heading2"/>
      </w:pPr>
      <w:r>
        <w:t xml:space="preserve">2.6 Colour-blind-safe variant</w:t>
      </w:r>
    </w:p>
    <w:p>
      <w:pPr>
        <w:pStyle w:val="FirstParagraph"/>
      </w:pPr>
      <w:r>
        <w:t xml:space="preserve">An alternate tier palette (Okabe-Ito derived) is available as an appearance setting:</w:t>
      </w:r>
    </w:p>
    <w:tbl>
      <w:tblPr>
        <w:tblStyle w:val="Table"/>
        <w:tblW w:type="auto" w:w="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jc w:val="left"/>
            </w:pPr>
            <w:r>
              <w:rPr>
                <w:b/>
                <w:color w:val="FFFFFF"/>
                <w:sz w:val="19"/>
              </w:rPr>
              <w:t xml:space="preserve">Tier</w:t>
            </w:r>
          </w:p>
        </w:tc>
        <w:tc>
          <w:tcPr>
            <w:shd w:val="clear" w:color="auto" w:fill="1F3A5F"/>
          </w:tcPr>
          <w:p>
            <w:pPr>
              <w:pStyle w:val="Compact"/>
              <w:jc w:val="left"/>
            </w:pPr>
            <w:r>
              <w:rPr>
                <w:b/>
                <w:color w:val="FFFFFF"/>
                <w:sz w:val="19"/>
              </w:rPr>
              <w:t xml:space="preserve">Colour-blind-safe</w:t>
            </w:r>
          </w:p>
        </w:tc>
      </w:tr>
      <w:tr>
        <w:tc>
          <w:tcPr/>
          <w:p>
            <w:pPr>
              <w:pStyle w:val="Compact"/>
              <w:jc w:val="left"/>
            </w:pPr>
            <w:r>
              <w:rPr>
                <w:b w:val="0"/>
                <w:color w:val="22303C"/>
                <w:sz w:val="18"/>
              </w:rPr>
              <w:t xml:space="preserve">Immediate</w:t>
            </w:r>
          </w:p>
        </w:tc>
        <w:tc>
          <w:tcPr/>
          <w:p>
            <w:pPr>
              <w:pStyle w:val="Compact"/>
              <w:jc w:val="left"/>
            </w:pPr>
            <w:r>
              <w:rPr>
                <w:rStyle w:val="VerbatimChar"/>
                <w:b w:val="0"/>
                <w:color w:val="22303C"/>
                <w:sz w:val="18"/>
              </w:rPr>
              <w:t xml:space="preserve">#D55E00</w:t>
            </w:r>
          </w:p>
        </w:tc>
      </w:tr>
      <w:tr>
        <w:tc>
          <w:tcPr>
            <w:shd w:val="clear" w:color="auto" w:fill="EEF3F6"/>
          </w:tcPr>
          <w:p>
            <w:pPr>
              <w:pStyle w:val="Compact"/>
              <w:jc w:val="left"/>
            </w:pPr>
            <w:r>
              <w:rPr>
                <w:b w:val="0"/>
                <w:color w:val="22303C"/>
                <w:sz w:val="18"/>
              </w:rPr>
              <w:t xml:space="preserve">Short-term</w:t>
            </w:r>
          </w:p>
        </w:tc>
        <w:tc>
          <w:tcPr>
            <w:shd w:val="clear" w:color="auto" w:fill="EEF3F6"/>
          </w:tcPr>
          <w:p>
            <w:pPr>
              <w:pStyle w:val="Compact"/>
              <w:jc w:val="left"/>
            </w:pPr>
            <w:r>
              <w:rPr>
                <w:rStyle w:val="VerbatimChar"/>
                <w:b w:val="0"/>
                <w:color w:val="22303C"/>
                <w:sz w:val="18"/>
              </w:rPr>
              <w:t xml:space="preserve">#E69F00</w:t>
            </w:r>
          </w:p>
        </w:tc>
      </w:tr>
      <w:tr>
        <w:tc>
          <w:tcPr/>
          <w:p>
            <w:pPr>
              <w:pStyle w:val="Compact"/>
              <w:jc w:val="left"/>
            </w:pPr>
            <w:r>
              <w:rPr>
                <w:b w:val="0"/>
                <w:color w:val="22303C"/>
                <w:sz w:val="18"/>
              </w:rPr>
              <w:t xml:space="preserve">Medium-term</w:t>
            </w:r>
          </w:p>
        </w:tc>
        <w:tc>
          <w:tcPr/>
          <w:p>
            <w:pPr>
              <w:pStyle w:val="Compact"/>
              <w:jc w:val="left"/>
            </w:pPr>
            <w:r>
              <w:rPr>
                <w:rStyle w:val="VerbatimChar"/>
                <w:b w:val="0"/>
                <w:color w:val="22303C"/>
                <w:sz w:val="18"/>
              </w:rPr>
              <w:t xml:space="preserve">#56B4E9</w:t>
            </w:r>
          </w:p>
        </w:tc>
      </w:tr>
    </w:tbl>
    <w:p>
      <w:pPr>
        <w:pStyle w:val="BodyText"/>
      </w:pPr>
      <w:r>
        <w:rPr>
          <w:bCs/>
          <w:b/>
        </w:rPr>
        <w:t xml:space="preserve">Current limitation:</w:t>
      </w:r>
      <w:r>
        <w:t xml:space="preserve"> </w:t>
      </w:r>
      <w:r>
        <w:t xml:space="preserve">this variant covers tier badges only. Continuous risk colouring (the 72-hour forecast grid, shelter occupancy bars, confidence dots) still resolves through the standard ramp, where</w:t>
      </w:r>
      <w:r>
        <w:t xml:space="preserve"> </w:t>
      </w:r>
      <w:r>
        <w:rPr>
          <w:rStyle w:val="VerbatimChar"/>
        </w:rPr>
        <w:t xml:space="preserve">--sev4</w:t>
      </w:r>
      <w:r>
        <w:t xml:space="preserve"> </w:t>
      </w:r>
      <w:r>
        <w:t xml:space="preserve">and</w:t>
      </w:r>
      <w:r>
        <w:t xml:space="preserve"> </w:t>
      </w:r>
      <w:r>
        <w:rPr>
          <w:rStyle w:val="VerbatimChar"/>
        </w:rPr>
        <w:t xml:space="preserve">--sev5</w:t>
      </w:r>
      <w:r>
        <w:t xml:space="preserve"> </w:t>
      </w:r>
      <w:r>
        <w:t xml:space="preserve">sit close in hue. Extending the variant to the continuous ramp is open work; until then the setting should be described as covering priority tiers, not the whole interface.</w:t>
      </w:r>
    </w:p>
    <w:p>
      <w:r>
        <w:pict>
          <v:rect style="width:0;height:1.5pt" o:hralign="center" o:hrstd="t" o:hr="t"/>
        </w:pict>
      </w:r>
    </w:p>
    <w:bookmarkEnd w:id="27"/>
    <w:bookmarkEnd w:id="28"/>
    <w:bookmarkStart w:id="29" w:name="typography"/>
    <w:p>
      <w:pPr>
        <w:spacing w:before="200" w:after="160"/>
        <w:pBdr>
          <w:bottom w:val="single" w:sz="6" w:space="1" w:color="AAAAAA"/>
        </w:pBdr>
      </w:pPr>
    </w:p>
    <w:p>
      <w:pPr>
        <w:pStyle w:val="Heading1"/>
      </w:pPr>
      <w:r>
        <w:t xml:space="preserve">3. Typography</w:t>
      </w:r>
    </w:p>
    <w:p>
      <w:pPr>
        <w:pStyle w:val="FirstParagraph"/>
      </w:pPr>
      <w:r>
        <w:t xml:space="preserve">Three faces. v2 merged display and body into one grotesque on the reasoning that most</w:t>
      </w:r>
      <w:r>
        <w:t xml:space="preserve"> </w:t>
      </w:r>
      <w:r>
        <w:t xml:space="preserve">“</w:t>
      </w:r>
      <w:r>
        <w:t xml:space="preserve">body</w:t>
      </w:r>
      <w:r>
        <w:t xml:space="preserve">”</w:t>
      </w:r>
      <w:r>
        <w:t xml:space="preserve"> </w:t>
      </w:r>
      <w:r>
        <w:t xml:space="preserve">copy here is a caption or a one-line rationale, not running prose. v3 reverts to the originally-proposed three-face system: a condensed display face for headings, a serif for body copy, and mono for data — reinstated by the same product decision that reinstated the v1 palette (§1).</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tblGrid>
      <w:tr>
        <w:trPr>
          <w:tblHeader w:val="true"/>
          <w:tblHeader w:val="true"/>
        </w:trPr>
        <w:tc>
          <w:tcPr>
            <w:shd w:val="clear" w:color="auto" w:fill="1F3A5F"/>
          </w:tcPr>
          <w:p>
            <w:pPr>
              <w:pStyle w:val="Compact"/>
              <w:jc w:val="left"/>
            </w:pPr>
            <w:r>
              <w:rPr>
                <w:b/>
                <w:color w:val="FFFFFF"/>
                <w:sz w:val="19"/>
              </w:rPr>
              <w:t xml:space="preserve">Role</w:t>
            </w:r>
          </w:p>
        </w:tc>
        <w:tc>
          <w:tcPr>
            <w:shd w:val="clear" w:color="auto" w:fill="1F3A5F"/>
          </w:tcPr>
          <w:p>
            <w:pPr>
              <w:pStyle w:val="Compact"/>
              <w:jc w:val="left"/>
            </w:pPr>
            <w:r>
              <w:rPr>
                <w:b/>
                <w:color w:val="FFFFFF"/>
                <w:sz w:val="19"/>
              </w:rPr>
              <w:t xml:space="preserve">Face</w:t>
            </w:r>
          </w:p>
        </w:tc>
        <w:tc>
          <w:tcPr>
            <w:shd w:val="clear" w:color="auto" w:fill="1F3A5F"/>
          </w:tcPr>
          <w:p>
            <w:pPr>
              <w:pStyle w:val="Compact"/>
              <w:jc w:val="left"/>
            </w:pPr>
            <w:r>
              <w:rPr>
                <w:b/>
                <w:color w:val="FFFFFF"/>
                <w:sz w:val="19"/>
              </w:rPr>
              <w:t xml:space="preserve">Weights</w:t>
            </w:r>
          </w:p>
        </w:tc>
        <w:tc>
          <w:tcPr>
            <w:shd w:val="clear" w:color="auto" w:fill="1F3A5F"/>
          </w:tcPr>
          <w:p>
            <w:pPr>
              <w:pStyle w:val="Compact"/>
              <w:jc w:val="left"/>
            </w:pPr>
            <w:r>
              <w:rPr>
                <w:b/>
                <w:color w:val="FFFFFF"/>
                <w:sz w:val="19"/>
              </w:rPr>
              <w:t xml:space="preserve">Use</w:t>
            </w:r>
          </w:p>
        </w:tc>
      </w:tr>
      <w:tr>
        <w:tc>
          <w:tcPr/>
          <w:p>
            <w:pPr>
              <w:pStyle w:val="Compact"/>
              <w:jc w:val="left"/>
            </w:pPr>
            <w:r>
              <w:rPr>
                <w:b w:val="0"/>
                <w:color w:val="22303C"/>
                <w:sz w:val="18"/>
              </w:rPr>
              <w:t xml:space="preserve">Heading</w:t>
            </w:r>
          </w:p>
        </w:tc>
        <w:tc>
          <w:tcPr/>
          <w:p>
            <w:pPr>
              <w:pStyle w:val="Compact"/>
              <w:jc w:val="left"/>
            </w:pPr>
            <w:r>
              <w:rPr>
                <w:b w:val="0"/>
                <w:color w:val="22303C"/>
                <w:sz w:val="18"/>
              </w:rPr>
              <w:t xml:space="preserve">Big Shoulders Display</w:t>
            </w:r>
          </w:p>
        </w:tc>
        <w:tc>
          <w:tcPr/>
          <w:p>
            <w:pPr>
              <w:pStyle w:val="Compact"/>
              <w:jc w:val="left"/>
            </w:pPr>
            <w:r>
              <w:rPr>
                <w:b w:val="0"/>
                <w:color w:val="22303C"/>
                <w:sz w:val="18"/>
              </w:rPr>
              <w:t xml:space="preserve">400 / 600 / 700</w:t>
            </w:r>
          </w:p>
        </w:tc>
        <w:tc>
          <w:tcPr/>
          <w:p>
            <w:pPr>
              <w:pStyle w:val="Compact"/>
              <w:jc w:val="left"/>
            </w:pPr>
            <w:r>
              <w:rPr>
                <w:b w:val="0"/>
                <w:color w:val="22303C"/>
                <w:sz w:val="18"/>
              </w:rPr>
              <w:t xml:space="preserve">Screen titles, panel headings, nav labels, primary buttons</w:t>
            </w:r>
          </w:p>
        </w:tc>
      </w:tr>
      <w:tr>
        <w:tc>
          <w:tcPr>
            <w:shd w:val="clear" w:color="auto" w:fill="EEF3F6"/>
          </w:tcPr>
          <w:p>
            <w:pPr>
              <w:pStyle w:val="Compact"/>
              <w:jc w:val="left"/>
            </w:pPr>
            <w:r>
              <w:rPr>
                <w:b w:val="0"/>
                <w:color w:val="22303C"/>
                <w:sz w:val="18"/>
              </w:rPr>
              <w:t xml:space="preserve">Body</w:t>
            </w:r>
          </w:p>
        </w:tc>
        <w:tc>
          <w:tcPr>
            <w:shd w:val="clear" w:color="auto" w:fill="EEF3F6"/>
          </w:tcPr>
          <w:p>
            <w:pPr>
              <w:pStyle w:val="Compact"/>
              <w:jc w:val="left"/>
            </w:pPr>
            <w:r>
              <w:rPr>
                <w:b w:val="0"/>
                <w:color w:val="22303C"/>
                <w:sz w:val="18"/>
              </w:rPr>
              <w:t xml:space="preserve">Newsreader</w:t>
            </w:r>
          </w:p>
        </w:tc>
        <w:tc>
          <w:tcPr>
            <w:shd w:val="clear" w:color="auto" w:fill="EEF3F6"/>
          </w:tcPr>
          <w:p>
            <w:pPr>
              <w:pStyle w:val="Compact"/>
              <w:jc w:val="left"/>
            </w:pPr>
            <w:r>
              <w:rPr>
                <w:b w:val="0"/>
                <w:color w:val="22303C"/>
                <w:sz w:val="18"/>
              </w:rPr>
              <w:t xml:space="preserve">400 / 500 / 600</w:t>
            </w:r>
          </w:p>
        </w:tc>
        <w:tc>
          <w:tcPr>
            <w:shd w:val="clear" w:color="auto" w:fill="EEF3F6"/>
          </w:tcPr>
          <w:p>
            <w:pPr>
              <w:pStyle w:val="Compact"/>
              <w:jc w:val="left"/>
            </w:pPr>
            <w:r>
              <w:rPr>
                <w:b w:val="0"/>
                <w:color w:val="22303C"/>
                <w:sz w:val="18"/>
              </w:rPr>
              <w:t xml:space="preserve">Descriptive copy, rationale text, form labels, table prose values</w:t>
            </w:r>
          </w:p>
        </w:tc>
      </w:tr>
      <w:tr>
        <w:tc>
          <w:tcPr/>
          <w:p>
            <w:pPr>
              <w:pStyle w:val="Compact"/>
              <w:jc w:val="left"/>
            </w:pPr>
            <w:r>
              <w:rPr>
                <w:b w:val="0"/>
                <w:color w:val="22303C"/>
                <w:sz w:val="18"/>
              </w:rPr>
              <w:t xml:space="preserve">Data</w:t>
            </w:r>
          </w:p>
        </w:tc>
        <w:tc>
          <w:tcPr/>
          <w:p>
            <w:pPr>
              <w:pStyle w:val="Compact"/>
              <w:jc w:val="left"/>
            </w:pPr>
            <w:r>
              <w:rPr>
                <w:b w:val="0"/>
                <w:color w:val="22303C"/>
                <w:sz w:val="18"/>
              </w:rPr>
              <w:t xml:space="preserve">IBM Plex Mono</w:t>
            </w:r>
          </w:p>
        </w:tc>
        <w:tc>
          <w:tcPr/>
          <w:p>
            <w:pPr>
              <w:pStyle w:val="Compact"/>
              <w:jc w:val="left"/>
            </w:pPr>
            <w:r>
              <w:rPr>
                <w:b w:val="0"/>
                <w:color w:val="22303C"/>
                <w:sz w:val="18"/>
              </w:rPr>
              <w:t xml:space="preserve">400 / 500 / 600</w:t>
            </w:r>
          </w:p>
        </w:tc>
        <w:tc>
          <w:tcPr/>
          <w:p>
            <w:pPr>
              <w:pStyle w:val="Compact"/>
              <w:jc w:val="left"/>
            </w:pPr>
            <w:r>
              <w:rPr>
                <w:b w:val="0"/>
                <w:color w:val="22303C"/>
                <w:sz w:val="18"/>
              </w:rPr>
              <w:t xml:space="preserve">Zone and household IDs, risk scores, coordinates, timestamps, table values, status chips, column headers</w:t>
            </w:r>
          </w:p>
        </w:tc>
      </w:tr>
    </w:tbl>
    <w:p>
      <w:pPr>
        <w:pStyle w:val="BodyText"/>
      </w:pPr>
      <w:r>
        <w:t xml:space="preserve">The mono face is not stylistic. It is what makes a dense table of risk scores, populations and timestamps scannable, and it signals which values came from the system rather than from prose. The division is strict:</w:t>
      </w:r>
      <w:r>
        <w:t xml:space="preserve"> </w:t>
      </w:r>
      <w:r>
        <w:rPr>
          <w:bCs/>
          <w:b/>
        </w:rPr>
        <w:t xml:space="preserve">if a value was computed or recorded by the system, it is set in mono.</w:t>
      </w:r>
      <w:r>
        <w:t xml:space="preserve"> </w:t>
      </w:r>
      <w:r>
        <w:t xml:space="preserve">Everything else is heading or body depending on whether it titles a screen/panel or describes one.</w:t>
      </w:r>
    </w:p>
    <w:p>
      <w:pPr>
        <w:pStyle w:val="BodyText"/>
      </w:pPr>
      <w:r>
        <w:t xml:space="preserve">Newsreader is a text serif, not a display face — legible at body sizes but not intended for the small, dense UI chrome (badges, table column headers, compact status text) this interface is mostly made of. Where a screen has genuine running prose (a rationale paragraph, a note field, a caption), it should read in Newsreader; short interface labels inherit it as the default body face by cascade, which is an acceptable trade-off for the three-face system’s sake, not a claim that Newsreader is the ideal face for a 10px badge.</w:t>
      </w:r>
    </w:p>
    <w:p>
      <w:pPr>
        <w:pStyle w:val="BodyText"/>
      </w:pPr>
      <w:r>
        <w:t xml:space="preserve">Uppercase with wide tracking (</w:t>
      </w:r>
      <w:r>
        <w:rPr>
          <w:rStyle w:val="VerbatimChar"/>
        </w:rPr>
        <w:t xml:space="preserve">letter-spacing: .06em</w:t>
      </w:r>
      <w:r>
        <w:t xml:space="preserve">–</w:t>
      </w:r>
      <w:r>
        <w:rPr>
          <w:rStyle w:val="VerbatimChar"/>
        </w:rPr>
        <w:t xml:space="preserve">.14em</w:t>
      </w:r>
      <w:r>
        <w:t xml:space="preserve">) marks the system’s own vocabulary —</w:t>
      </w:r>
      <w:r>
        <w:t xml:space="preserve"> </w:t>
      </w:r>
      <w:r>
        <w:rPr>
          <w:rStyle w:val="VerbatimChar"/>
        </w:rPr>
        <w:t xml:space="preserve">IMMEDIATE</w:t>
      </w:r>
      <w:r>
        <w:t xml:space="preserve">,</w:t>
      </w:r>
      <w:r>
        <w:t xml:space="preserve"> </w:t>
      </w:r>
      <w:r>
        <w:rPr>
          <w:rStyle w:val="VerbatimChar"/>
        </w:rPr>
        <w:t xml:space="preserve">FIELD-VERIFIED</w:t>
      </w:r>
      <w:r>
        <w:t xml:space="preserve">,</w:t>
      </w:r>
      <w:r>
        <w:t xml:space="preserve"> </w:t>
      </w:r>
      <w:r>
        <w:rPr>
          <w:rStyle w:val="VerbatimChar"/>
        </w:rPr>
        <w:t xml:space="preserve">SAMPLE DATA</w:t>
      </w:r>
      <w:r>
        <w:t xml:space="preserve">,</w:t>
      </w:r>
      <w:r>
        <w:t xml:space="preserve"> </w:t>
      </w:r>
      <w:r>
        <w:rPr>
          <w:rStyle w:val="VerbatimChar"/>
        </w:rPr>
        <w:t xml:space="preserve">READ-ONLY SESSION</w:t>
      </w:r>
      <w:r>
        <w:t xml:space="preserve">, section labels in the nav rail. It is never used for sentences.</w:t>
      </w:r>
    </w:p>
    <w:p>
      <w:r>
        <w:pict>
          <v:rect style="width:0;height:1.5pt" o:hralign="center" o:hrstd="t" o:hr="t"/>
        </w:pict>
      </w:r>
    </w:p>
    <w:bookmarkEnd w:id="29"/>
    <w:bookmarkStart w:id="30" w:name="interface-principles"/>
    <w:p>
      <w:pPr>
        <w:spacing w:before="200" w:after="160"/>
        <w:pBdr>
          <w:bottom w:val="single" w:sz="6" w:space="1" w:color="AAAAAA"/>
        </w:pBdr>
      </w:pPr>
    </w:p>
    <w:p>
      <w:pPr>
        <w:pStyle w:val="Heading1"/>
      </w:pPr>
      <w:r>
        <w:t xml:space="preserve">4. Interface Principles</w:t>
      </w:r>
    </w:p>
    <w:p>
      <w:pPr>
        <w:pStyle w:val="FirstParagraph"/>
      </w:pPr>
      <w:r>
        <w:rPr>
          <w:bCs/>
          <w:b/>
        </w:rPr>
        <w:t xml:space="preserve">Explainability is a visible component, not a promise.</w:t>
      </w:r>
      <w:r>
        <w:t xml:space="preserve"> </w:t>
      </w:r>
      <w:r>
        <w:t xml:space="preserve">Every score in the platform — household vulnerability, relocation priority, shelter match — resolves to the same four-column shape: factor name, weight, input value, contribution. One panel renders all three, with a contribution bar per factor and the tier thresholds printed below it. A new score type inherits the panel rather than getting a bespoke treatment.</w:t>
      </w:r>
    </w:p>
    <w:p>
      <w:pPr>
        <w:pStyle w:val="BodyText"/>
      </w:pPr>
      <w:r>
        <w:rPr>
          <w:bCs/>
          <w:b/>
        </w:rPr>
        <w:t xml:space="preserve">Confidence travels with the zone.</w:t>
      </w:r>
      <w:r>
        <w:t xml:space="preserve"> </w:t>
      </w:r>
      <w:r>
        <w:t xml:space="preserve">Field-verified versus government-baseline-only, and how old that verification is, is visible wherever a zone or household appears — in lists, in summary tiles, in detail panels — not only in a detail view. Three states, each with its own colour and plain-language note:</w:t>
      </w:r>
      <w:r>
        <w:t xml:space="preserve"> </w:t>
      </w:r>
      <w:r>
        <w:rPr>
          <w:rStyle w:val="VerbatimChar"/>
        </w:rPr>
        <w:t xml:space="preserve">field</w:t>
      </w:r>
      <w:r>
        <w:t xml:space="preserve"> </w:t>
      </w:r>
      <w:r>
        <w:t xml:space="preserve">(verified, current),</w:t>
      </w:r>
      <w:r>
        <w:t xml:space="preserve"> </w:t>
      </w:r>
      <w:r>
        <w:rPr>
          <w:rStyle w:val="VerbatimChar"/>
        </w:rPr>
        <w:t xml:space="preserve">baseline</w:t>
      </w:r>
      <w:r>
        <w:t xml:space="preserve"> </w:t>
      </w:r>
      <w:r>
        <w:t xml:space="preserve">(census/GSI only, never field-checked),</w:t>
      </w:r>
      <w:r>
        <w:t xml:space="preserve"> </w:t>
      </w:r>
      <w:r>
        <w:rPr>
          <w:rStyle w:val="VerbatimChar"/>
        </w:rPr>
        <w:t xml:space="preserve">due</w:t>
      </w:r>
      <w:r>
        <w:t xml:space="preserve"> </w:t>
      </w:r>
      <w:r>
        <w:t xml:space="preserve">(verification older than the 90-day currency threshold).</w:t>
      </w:r>
    </w:p>
    <w:p>
      <w:pPr>
        <w:pStyle w:val="BodyText"/>
      </w:pPr>
      <w:r>
        <w:rPr>
          <w:bCs/>
          <w:b/>
        </w:rPr>
        <w:t xml:space="preserve">Uncertainty raises urgency, and says so.</w:t>
      </w:r>
      <w:r>
        <w:t xml:space="preserve"> </w:t>
      </w:r>
      <w:r>
        <w:t xml:space="preserve">A household with no field verification carries a precautionary margin that scores it</w:t>
      </w:r>
      <w:r>
        <w:t xml:space="preserve"> </w:t>
      </w:r>
      <w:r>
        <w:rPr>
          <w:iCs/>
          <w:i/>
        </w:rPr>
        <w:t xml:space="preserve">higher</w:t>
      </w:r>
      <w:r>
        <w:t xml:space="preserve">, not lower. Because that reads backwards at a glance, the factor row states the reasoning inline rather than leaving it to be inferred.</w:t>
      </w:r>
    </w:p>
    <w:p>
      <w:pPr>
        <w:pStyle w:val="BodyText"/>
      </w:pPr>
      <w:r>
        <w:rPr>
          <w:bCs/>
          <w:b/>
        </w:rPr>
        <w:t xml:space="preserve">State reads before number.</w:t>
      </w:r>
      <w:r>
        <w:t xml:space="preserve"> </w:t>
      </w:r>
      <w:r>
        <w:t xml:space="preserve">Severity and status are encoded in form as well as value — a filled chip, a severity stripe, a rank badge — so that what needs attention surfaces on a screen that is scanned rather than read.</w:t>
      </w:r>
    </w:p>
    <w:p>
      <w:pPr>
        <w:pStyle w:val="BodyText"/>
      </w:pPr>
      <w:r>
        <w:rPr>
          <w:bCs/>
          <w:b/>
        </w:rPr>
        <w:t xml:space="preserve">Illustrative data is labelled as illustrative.</w:t>
      </w:r>
      <w:r>
        <w:t xml:space="preserve"> </w:t>
      </w:r>
      <w:r>
        <w:t xml:space="preserve">A</w:t>
      </w:r>
      <w:r>
        <w:t xml:space="preserve"> </w:t>
      </w:r>
      <w:r>
        <w:rPr>
          <w:rStyle w:val="VerbatimChar"/>
        </w:rPr>
        <w:t xml:space="preserve">SAMPLE DATA</w:t>
      </w:r>
      <w:r>
        <w:t xml:space="preserve"> </w:t>
      </w:r>
      <w:r>
        <w:t xml:space="preserve">chip sits in the persistent application header, so it is present on every screen rather than on a disclaimer slide. Where a specific asset is not what it appears to be, the principle is that the caption should say so on the asset itself, not just rely on the page-level chip. Basemap geography is real; zone footprints, populations and route status are sample data, and the map captions separate the two.</w:t>
      </w:r>
    </w:p>
    <w:p>
      <w:pPr>
        <w:pStyle w:val="BodyText"/>
      </w:pPr>
      <w:r>
        <w:rPr>
          <w:bCs/>
          <w:b/>
        </w:rPr>
        <w:t xml:space="preserve">Known gap against that principle, as of this build:</w:t>
      </w:r>
      <w:r>
        <w:t xml:space="preserve"> </w:t>
      </w:r>
      <w:r>
        <w:t xml:space="preserve">the SAR change-detection screen’s before/after slider (</w:t>
      </w:r>
      <w:r>
        <w:rPr>
          <w:rStyle w:val="VerbatimChar"/>
        </w:rPr>
        <w:t xml:space="preserve">frontend/src/components/BeforeAfterSlider.tsx</w:t>
      </w:r>
      <w:r>
        <w:t xml:space="preserve">) carries only generic</w:t>
      </w:r>
      <w:r>
        <w:t xml:space="preserve"> </w:t>
      </w:r>
      <w:r>
        <w:t xml:space="preserve">“</w:t>
      </w:r>
      <w:r>
        <w:t xml:space="preserve">BEFORE</w:t>
      </w:r>
      <w:r>
        <w:t xml:space="preserve">”</w:t>
      </w:r>
      <w:r>
        <w:t xml:space="preserve">/</w:t>
      </w:r>
      <w:r>
        <w:t xml:space="preserve">“</w:t>
      </w:r>
      <w:r>
        <w:t xml:space="preserve">AFTER</w:t>
      </w:r>
      <w:r>
        <w:t xml:space="preserve">”</w:t>
      </w:r>
      <w:r>
        <w:t xml:space="preserve"> </w:t>
      </w:r>
      <w:r>
        <w:t xml:space="preserve">corner labels and the page-level</w:t>
      </w:r>
      <w:r>
        <w:t xml:space="preserve"> </w:t>
      </w:r>
      <w:r>
        <w:rPr>
          <w:rStyle w:val="VerbatimChar"/>
        </w:rPr>
        <w:t xml:space="preserve">SAMPLE DATA</w:t>
      </w:r>
      <w:r>
        <w:t xml:space="preserve"> </w:t>
      </w:r>
      <w:r>
        <w:t xml:space="preserve">chip — no per-asset caption stating what the imagery actually is. That matters more here than elsewhere: the scene is not merely sample Dima Hasao data standing in for a real place, it’s a</w:t>
      </w:r>
      <w:r>
        <w:t xml:space="preserve"> </w:t>
      </w:r>
      <w:r>
        <w:rPr>
          <w:bCs/>
          <w:b/>
        </w:rPr>
        <w:t xml:space="preserve">programmatically-generated synthetic texture</w:t>
      </w:r>
      <w:r>
        <w:t xml:space="preserve"> </w:t>
      </w:r>
      <w:r>
        <w:t xml:space="preserve">(NumPy noise plus an added patch) standing in for a satellite pass entirely — there is no real Sentinel-1 capture behind it at all (</w:t>
      </w:r>
      <w:r>
        <w:rPr>
          <w:rStyle w:val="VerbatimChar"/>
        </w:rPr>
        <w:t xml:space="preserve">docs/TRD.md</w:t>
      </w:r>
      <w:r>
        <w:t xml:space="preserve"> </w:t>
      </w:r>
      <w:r>
        <w:t xml:space="preserve">§8.3,</w:t>
      </w:r>
      <w:r>
        <w:t xml:space="preserve"> </w:t>
      </w:r>
      <w:r>
        <w:rPr>
          <w:rStyle w:val="VerbatimChar"/>
        </w:rPr>
        <w:t xml:space="preserve">backend/app/cv/change_detection.py</w:t>
      </w:r>
      <w:r>
        <w:t xml:space="preserve">). This is a real, live-app instance of the pattern rule 6 exists to prevent, not yet closed by an on-asset caption.</w:t>
      </w:r>
    </w:p>
    <w:p>
      <w:pPr>
        <w:pStyle w:val="BodyText"/>
      </w:pPr>
      <w:r>
        <w:rPr>
          <w:bCs/>
          <w:b/>
        </w:rPr>
        <w:t xml:space="preserve">Designed for constrained connectivity.</w:t>
      </w:r>
      <w:r>
        <w:t xml:space="preserve"> </w:t>
      </w:r>
      <w:r>
        <w:t xml:space="preserve">Sync state, queue depth and unreviewed status are first-class interface elements, not status-bar afterthoughts. The field module shows its own network state, what is queued on device, and what happens on reconnect — including that a retried sync upserts on a client UUID and cannot create a duplicate.</w:t>
      </w:r>
    </w:p>
    <w:p>
      <w:pPr>
        <w:pStyle w:val="BodyText"/>
      </w:pPr>
      <w:r>
        <w:rPr>
          <w:bCs/>
          <w:b/>
        </w:rPr>
        <w:t xml:space="preserve">Household detail is role-restricted.</w:t>
      </w:r>
      <w:r>
        <w:t xml:space="preserve"> </w:t>
      </w:r>
      <w:r>
        <w:t xml:space="preserve">Vulnerability data — elderly, children, assistance needs — is access-controlled at the data layer. The interface reflects the restriction: the control-room role gets its own reduced navigation, a persistent</w:t>
      </w:r>
      <w:r>
        <w:t xml:space="preserve"> </w:t>
      </w:r>
      <w:r>
        <w:rPr>
          <w:rStyle w:val="VerbatimChar"/>
        </w:rPr>
        <w:t xml:space="preserve">READ-ONLY SESSION</w:t>
      </w:r>
      <w:r>
        <w:t xml:space="preserve"> </w:t>
      </w:r>
      <w:r>
        <w:t xml:space="preserve">marker, and write actions that decline with a stated reason rather than silently failing or appearing enabled.</w:t>
      </w:r>
    </w:p>
    <w:p>
      <w:r>
        <w:pict>
          <v:rect style="width:0;height:1.5pt" o:hralign="center" o:hrstd="t" o:hr="t"/>
        </w:pict>
      </w:r>
    </w:p>
    <w:bookmarkEnd w:id="30"/>
    <w:bookmarkStart w:id="36" w:name="screen-inventory"/>
    <w:p>
      <w:pPr>
        <w:spacing w:before="200" w:after="160"/>
        <w:pBdr>
          <w:bottom w:val="single" w:sz="6" w:space="1" w:color="AAAAAA"/>
        </w:pBdr>
      </w:pPr>
    </w:p>
    <w:p>
      <w:pPr>
        <w:pStyle w:val="Heading1"/>
      </w:pPr>
      <w:r>
        <w:t xml:space="preserve">5. Screen Inventory</w:t>
      </w:r>
    </w:p>
    <w:p>
      <w:pPr>
        <w:pStyle w:val="FirstParagraph"/>
      </w:pPr>
      <w:r>
        <w:t xml:space="preserve">Built and interactive in the prototype. Each maps to the functional requirement noted.</w:t>
      </w:r>
    </w:p>
    <w:bookmarkStart w:id="31" w:name="pre-authentication"/>
    <w:p>
      <w:pPr>
        <w:pStyle w:val="Heading2"/>
      </w:pPr>
      <w:r>
        <w:t xml:space="preserve">Pre-authentication</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jc w:val="left"/>
            </w:pPr>
            <w:r>
              <w:rPr>
                <w:b/>
                <w:color w:val="FFFFFF"/>
                <w:sz w:val="19"/>
              </w:rPr>
              <w:t xml:space="preserve">Screen</w:t>
            </w:r>
          </w:p>
        </w:tc>
        <w:tc>
          <w:tcPr>
            <w:shd w:val="clear" w:color="auto" w:fill="1F3A5F"/>
          </w:tcPr>
          <w:p>
            <w:pPr>
              <w:pStyle w:val="Compact"/>
              <w:jc w:val="left"/>
            </w:pPr>
            <w:r>
              <w:rPr>
                <w:b/>
                <w:color w:val="FFFFFF"/>
                <w:sz w:val="19"/>
              </w:rPr>
              <w:t xml:space="preserve">PRD §</w:t>
            </w:r>
          </w:p>
        </w:tc>
      </w:tr>
      <w:tr>
        <w:tc>
          <w:tcPr/>
          <w:p>
            <w:pPr>
              <w:pStyle w:val="Compact"/>
              <w:jc w:val="left"/>
            </w:pPr>
            <w:r>
              <w:rPr>
                <w:b w:val="0"/>
                <w:color w:val="22303C"/>
                <w:sz w:val="18"/>
              </w:rPr>
              <w:t xml:space="preserve">Public landing — product framing, live district map, role overview</w:t>
            </w:r>
          </w:p>
        </w:tc>
        <w:tc>
          <w:tcPr/>
          <w:p>
            <w:pPr>
              <w:pStyle w:val="Compact"/>
              <w:jc w:val="left"/>
            </w:pPr>
            <w:r>
              <w:rPr>
                <w:b w:val="0"/>
                <w:color w:val="22303C"/>
                <w:sz w:val="18"/>
              </w:rPr>
              <w:t xml:space="preserve">—</w:t>
            </w:r>
          </w:p>
        </w:tc>
      </w:tr>
      <w:tr>
        <w:tc>
          <w:tcPr>
            <w:shd w:val="clear" w:color="auto" w:fill="EEF3F6"/>
          </w:tcPr>
          <w:p>
            <w:pPr>
              <w:pStyle w:val="Compact"/>
              <w:jc w:val="left"/>
            </w:pPr>
            <w:r>
              <w:rPr>
                <w:b w:val="0"/>
                <w:color w:val="22303C"/>
                <w:sz w:val="18"/>
              </w:rPr>
              <w:t xml:space="preserve">Authority sign-in — officer ID, password, role selection</w:t>
            </w:r>
          </w:p>
        </w:tc>
        <w:tc>
          <w:tcPr>
            <w:shd w:val="clear" w:color="auto" w:fill="EEF3F6"/>
          </w:tcPr>
          <w:p>
            <w:pPr>
              <w:pStyle w:val="Compact"/>
              <w:jc w:val="left"/>
            </w:pPr>
            <w:r>
              <w:rPr>
                <w:b w:val="0"/>
                <w:color w:val="22303C"/>
                <w:sz w:val="18"/>
              </w:rPr>
              <w:t xml:space="preserve">§10 (role-restricted access)</w:t>
            </w:r>
          </w:p>
        </w:tc>
      </w:tr>
    </w:tbl>
    <w:bookmarkEnd w:id="31"/>
    <w:bookmarkStart w:id="32" w:name="sdma-official"/>
    <w:p>
      <w:pPr>
        <w:pStyle w:val="Heading2"/>
      </w:pPr>
      <w:r>
        <w:t xml:space="preserve">SDMA official</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jc w:val="left"/>
            </w:pPr>
            <w:r>
              <w:rPr>
                <w:b/>
                <w:color w:val="FFFFFF"/>
                <w:sz w:val="19"/>
              </w:rPr>
              <w:t xml:space="preserve">Screen</w:t>
            </w:r>
          </w:p>
        </w:tc>
        <w:tc>
          <w:tcPr>
            <w:shd w:val="clear" w:color="auto" w:fill="1F3A5F"/>
          </w:tcPr>
          <w:p>
            <w:pPr>
              <w:pStyle w:val="Compact"/>
              <w:jc w:val="left"/>
            </w:pPr>
            <w:r>
              <w:rPr>
                <w:b/>
                <w:color w:val="FFFFFF"/>
                <w:sz w:val="19"/>
              </w:rPr>
              <w:t xml:space="preserve">PRD §</w:t>
            </w:r>
          </w:p>
        </w:tc>
      </w:tr>
      <w:tr>
        <w:tc>
          <w:tcPr/>
          <w:p>
            <w:pPr>
              <w:pStyle w:val="Compact"/>
              <w:jc w:val="left"/>
            </w:pPr>
            <w:r>
              <w:rPr>
                <w:b w:val="0"/>
                <w:color w:val="22303C"/>
                <w:sz w:val="18"/>
              </w:rPr>
              <w:t xml:space="preserve">Workspace home — entry point into the four working areas</w:t>
            </w:r>
          </w:p>
        </w:tc>
        <w:tc>
          <w:tcPr/>
          <w:p>
            <w:pPr>
              <w:pStyle w:val="Compact"/>
              <w:jc w:val="left"/>
            </w:pPr>
            <w:r>
              <w:rPr>
                <w:b w:val="0"/>
                <w:color w:val="22303C"/>
                <w:sz w:val="18"/>
              </w:rPr>
              <w:t xml:space="preserve">§7.8</w:t>
            </w:r>
          </w:p>
        </w:tc>
      </w:tr>
      <w:tr>
        <w:tc>
          <w:tcPr>
            <w:shd w:val="clear" w:color="auto" w:fill="EEF3F6"/>
          </w:tcPr>
          <w:p>
            <w:pPr>
              <w:pStyle w:val="Compact"/>
              <w:jc w:val="left"/>
            </w:pPr>
            <w:r>
              <w:rPr>
                <w:b w:val="0"/>
                <w:color w:val="22303C"/>
                <w:sz w:val="18"/>
              </w:rPr>
              <w:t xml:space="preserve">Situation summary — critical zones, active alert banner, relocation and handoff counts</w:t>
            </w:r>
          </w:p>
        </w:tc>
        <w:tc>
          <w:tcPr>
            <w:shd w:val="clear" w:color="auto" w:fill="EEF3F6"/>
          </w:tcPr>
          <w:p>
            <w:pPr>
              <w:pStyle w:val="Compact"/>
              <w:jc w:val="left"/>
            </w:pPr>
            <w:r>
              <w:rPr>
                <w:b w:val="0"/>
                <w:color w:val="22303C"/>
                <w:sz w:val="18"/>
              </w:rPr>
              <w:t xml:space="preserve">§7.8</w:t>
            </w:r>
          </w:p>
        </w:tc>
      </w:tr>
      <w:tr>
        <w:tc>
          <w:tcPr/>
          <w:p>
            <w:pPr>
              <w:pStyle w:val="Compact"/>
              <w:jc w:val="left"/>
            </w:pPr>
            <w:r>
              <w:rPr>
                <w:b w:val="0"/>
                <w:color w:val="22303C"/>
                <w:sz w:val="18"/>
              </w:rPr>
              <w:t xml:space="preserve">Red zone map — live Leaflet map, zone table with confidence chips, zone detail with ML-vs-GSI divergence note and incident history</w:t>
            </w:r>
          </w:p>
        </w:tc>
        <w:tc>
          <w:tcPr/>
          <w:p>
            <w:pPr>
              <w:pStyle w:val="Compact"/>
              <w:jc w:val="left"/>
            </w:pPr>
            <w:r>
              <w:rPr>
                <w:b w:val="0"/>
                <w:color w:val="22303C"/>
                <w:sz w:val="18"/>
              </w:rPr>
              <w:t xml:space="preserve">§7.1</w:t>
            </w:r>
          </w:p>
        </w:tc>
      </w:tr>
      <w:tr>
        <w:tc>
          <w:tcPr>
            <w:shd w:val="clear" w:color="auto" w:fill="EEF3F6"/>
          </w:tcPr>
          <w:p>
            <w:pPr>
              <w:pStyle w:val="Compact"/>
              <w:jc w:val="left"/>
            </w:pPr>
            <w:r>
              <w:rPr>
                <w:b w:val="0"/>
                <w:color w:val="22303C"/>
                <w:sz w:val="18"/>
              </w:rPr>
              <w:t xml:space="preserve">72-hour forecast — per-zone risk grid across six time buckets, peak value and crossing threshold</w:t>
            </w:r>
          </w:p>
        </w:tc>
        <w:tc>
          <w:tcPr>
            <w:shd w:val="clear" w:color="auto" w:fill="EEF3F6"/>
          </w:tcPr>
          <w:p>
            <w:pPr>
              <w:pStyle w:val="Compact"/>
              <w:jc w:val="left"/>
            </w:pPr>
            <w:r>
              <w:rPr>
                <w:b w:val="0"/>
                <w:color w:val="22303C"/>
                <w:sz w:val="18"/>
              </w:rPr>
              <w:t xml:space="preserve">§7.9</w:t>
            </w:r>
          </w:p>
        </w:tc>
      </w:tr>
      <w:tr>
        <w:tc>
          <w:tcPr/>
          <w:p>
            <w:pPr>
              <w:pStyle w:val="Compact"/>
              <w:jc w:val="left"/>
            </w:pPr>
            <w:r>
              <w:rPr>
                <w:b w:val="0"/>
                <w:color w:val="22303C"/>
                <w:sz w:val="18"/>
              </w:rPr>
              <w:t xml:space="preserve">SAR change detection — before/after swipe comparison with detected-change overlay</w:t>
            </w:r>
          </w:p>
        </w:tc>
        <w:tc>
          <w:tcPr/>
          <w:p>
            <w:pPr>
              <w:pStyle w:val="Compact"/>
              <w:jc w:val="left"/>
            </w:pPr>
            <w:r>
              <w:rPr>
                <w:b w:val="0"/>
                <w:color w:val="22303C"/>
                <w:sz w:val="18"/>
              </w:rPr>
              <w:t xml:space="preserve">§7.11</w:t>
            </w:r>
          </w:p>
        </w:tc>
      </w:tr>
      <w:tr>
        <w:tc>
          <w:tcPr>
            <w:shd w:val="clear" w:color="auto" w:fill="EEF3F6"/>
          </w:tcPr>
          <w:p>
            <w:pPr>
              <w:pStyle w:val="Compact"/>
              <w:jc w:val="left"/>
            </w:pPr>
            <w:r>
              <w:rPr>
                <w:b w:val="0"/>
                <w:color w:val="22303C"/>
                <w:sz w:val="18"/>
              </w:rPr>
              <w:t xml:space="preserve">Household assessment — per-zone household list, vulnerability score and factor breakdown</w:t>
            </w:r>
          </w:p>
        </w:tc>
        <w:tc>
          <w:tcPr>
            <w:shd w:val="clear" w:color="auto" w:fill="EEF3F6"/>
          </w:tcPr>
          <w:p>
            <w:pPr>
              <w:pStyle w:val="Compact"/>
              <w:jc w:val="left"/>
            </w:pPr>
            <w:r>
              <w:rPr>
                <w:b w:val="0"/>
                <w:color w:val="22303C"/>
                <w:sz w:val="18"/>
              </w:rPr>
              <w:t xml:space="preserve">§7.2</w:t>
            </w:r>
          </w:p>
        </w:tc>
      </w:tr>
      <w:tr>
        <w:tc>
          <w:tcPr/>
          <w:p>
            <w:pPr>
              <w:pStyle w:val="Compact"/>
              <w:jc w:val="left"/>
            </w:pPr>
            <w:r>
              <w:rPr>
                <w:b w:val="0"/>
                <w:color w:val="22303C"/>
                <w:sz w:val="18"/>
              </w:rPr>
              <w:t xml:space="preserve">Priority ranking — ranked household list with priority factors and tier thresholds</w:t>
            </w:r>
          </w:p>
        </w:tc>
        <w:tc>
          <w:tcPr/>
          <w:p>
            <w:pPr>
              <w:pStyle w:val="Compact"/>
              <w:jc w:val="left"/>
            </w:pPr>
            <w:r>
              <w:rPr>
                <w:b w:val="0"/>
                <w:color w:val="22303C"/>
                <w:sz w:val="18"/>
              </w:rPr>
              <w:t xml:space="preserve">§7.3</w:t>
            </w:r>
          </w:p>
        </w:tc>
      </w:tr>
      <w:tr>
        <w:tc>
          <w:tcPr>
            <w:shd w:val="clear" w:color="auto" w:fill="EEF3F6"/>
          </w:tcPr>
          <w:p>
            <w:pPr>
              <w:pStyle w:val="Compact"/>
              <w:jc w:val="left"/>
            </w:pPr>
            <w:r>
              <w:rPr>
                <w:b w:val="0"/>
                <w:color w:val="22303C"/>
                <w:sz w:val="18"/>
              </w:rPr>
              <w:t xml:space="preserve">Shelters &amp; allocation — capacity, occupancy, facilities, match score with factor breakdown, allocate action</w:t>
            </w:r>
          </w:p>
        </w:tc>
        <w:tc>
          <w:tcPr>
            <w:shd w:val="clear" w:color="auto" w:fill="EEF3F6"/>
          </w:tcPr>
          <w:p>
            <w:pPr>
              <w:pStyle w:val="Compact"/>
              <w:jc w:val="left"/>
            </w:pPr>
            <w:r>
              <w:rPr>
                <w:b w:val="0"/>
                <w:color w:val="22303C"/>
                <w:sz w:val="18"/>
              </w:rPr>
              <w:t xml:space="preserve">§7.4, §7.5</w:t>
            </w:r>
          </w:p>
        </w:tc>
      </w:tr>
      <w:tr>
        <w:tc>
          <w:tcPr/>
          <w:p>
            <w:pPr>
              <w:pStyle w:val="Compact"/>
              <w:jc w:val="left"/>
            </w:pPr>
            <w:r>
              <w:rPr>
                <w:b w:val="0"/>
                <w:color w:val="22303C"/>
                <w:sz w:val="18"/>
              </w:rPr>
              <w:t xml:space="preserve">Logistics tracker — assigned / in transit / arrived columns, vehicle and escort assignment, status advance</w:t>
            </w:r>
          </w:p>
        </w:tc>
        <w:tc>
          <w:tcPr/>
          <w:p>
            <w:pPr>
              <w:pStyle w:val="Compact"/>
              <w:jc w:val="left"/>
            </w:pPr>
            <w:r>
              <w:rPr>
                <w:b w:val="0"/>
                <w:color w:val="22303C"/>
                <w:sz w:val="18"/>
              </w:rPr>
              <w:t xml:space="preserve">§7.6</w:t>
            </w:r>
          </w:p>
        </w:tc>
      </w:tr>
      <w:tr>
        <w:tc>
          <w:tcPr>
            <w:shd w:val="clear" w:color="auto" w:fill="EEF3F6"/>
          </w:tcPr>
          <w:p>
            <w:pPr>
              <w:pStyle w:val="Compact"/>
              <w:jc w:val="left"/>
            </w:pPr>
            <w:r>
              <w:rPr>
                <w:b w:val="0"/>
                <w:color w:val="22303C"/>
                <w:sz w:val="18"/>
              </w:rPr>
              <w:t xml:space="preserve">Evacuation routes — route map with per-segment status (clear / blocked / SAR-suspected) and alternative route</w:t>
            </w:r>
          </w:p>
        </w:tc>
        <w:tc>
          <w:tcPr>
            <w:shd w:val="clear" w:color="auto" w:fill="EEF3F6"/>
          </w:tcPr>
          <w:p>
            <w:pPr>
              <w:pStyle w:val="Compact"/>
              <w:jc w:val="left"/>
            </w:pPr>
            <w:r>
              <w:rPr>
                <w:b w:val="0"/>
                <w:color w:val="22303C"/>
                <w:sz w:val="18"/>
              </w:rPr>
              <w:t xml:space="preserve">§7.7</w:t>
            </w:r>
          </w:p>
        </w:tc>
      </w:tr>
      <w:tr>
        <w:tc>
          <w:tcPr/>
          <w:p>
            <w:pPr>
              <w:pStyle w:val="Compact"/>
              <w:jc w:val="left"/>
            </w:pPr>
            <w:r>
              <w:rPr>
                <w:b w:val="0"/>
                <w:color w:val="22303C"/>
                <w:sz w:val="18"/>
              </w:rPr>
              <w:t xml:space="preserve">Survey review — field submissions with offline-capture markers, approve and flag actions</w:t>
            </w:r>
          </w:p>
        </w:tc>
        <w:tc>
          <w:tcPr/>
          <w:p>
            <w:pPr>
              <w:pStyle w:val="Compact"/>
              <w:jc w:val="left"/>
            </w:pPr>
            <w:r>
              <w:rPr>
                <w:b w:val="0"/>
                <w:color w:val="22303C"/>
                <w:sz w:val="18"/>
              </w:rPr>
              <w:t xml:space="preserve">§7.10</w:t>
            </w:r>
          </w:p>
        </w:tc>
      </w:tr>
      <w:tr>
        <w:tc>
          <w:tcPr>
            <w:shd w:val="clear" w:color="auto" w:fill="EEF3F6"/>
          </w:tcPr>
          <w:p>
            <w:pPr>
              <w:pStyle w:val="Compact"/>
              <w:jc w:val="left"/>
            </w:pPr>
            <w:r>
              <w:rPr>
                <w:b w:val="0"/>
                <w:color w:val="22303C"/>
                <w:sz w:val="18"/>
              </w:rPr>
              <w:t xml:space="preserve">Interagency handoff — flagged needs routed to responsible agency with acknowledgement status</w:t>
            </w:r>
          </w:p>
        </w:tc>
        <w:tc>
          <w:tcPr>
            <w:shd w:val="clear" w:color="auto" w:fill="EEF3F6"/>
          </w:tcPr>
          <w:p>
            <w:pPr>
              <w:pStyle w:val="Compact"/>
              <w:jc w:val="left"/>
            </w:pPr>
            <w:r>
              <w:rPr>
                <w:b w:val="0"/>
                <w:color w:val="22303C"/>
                <w:sz w:val="18"/>
              </w:rPr>
              <w:t xml:space="preserve">§7.13</w:t>
            </w:r>
          </w:p>
        </w:tc>
      </w:tr>
      <w:tr>
        <w:tc>
          <w:tcPr/>
          <w:p>
            <w:pPr>
              <w:pStyle w:val="Compact"/>
              <w:jc w:val="left"/>
            </w:pPr>
            <w:r>
              <w:rPr>
                <w:b w:val="0"/>
                <w:color w:val="22303C"/>
                <w:sz w:val="18"/>
              </w:rPr>
              <w:t xml:space="preserve">Field officer app — the mobile module, viewable in-frame from the authority console</w:t>
            </w:r>
          </w:p>
        </w:tc>
        <w:tc>
          <w:tcPr/>
          <w:p>
            <w:pPr>
              <w:pStyle w:val="Compact"/>
              <w:jc w:val="left"/>
            </w:pPr>
            <w:r>
              <w:rPr>
                <w:b w:val="0"/>
                <w:color w:val="22303C"/>
                <w:sz w:val="18"/>
              </w:rPr>
              <w:t xml:space="preserve">§7.10</w:t>
            </w:r>
          </w:p>
        </w:tc>
      </w:tr>
    </w:tbl>
    <w:bookmarkEnd w:id="32"/>
    <w:bookmarkStart w:id="33" w:name="ndrf-field-officer"/>
    <w:p>
      <w:pPr>
        <w:pStyle w:val="Heading2"/>
      </w:pPr>
      <w:r>
        <w:t xml:space="preserve">NDRF field officer</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jc w:val="left"/>
            </w:pPr>
            <w:r>
              <w:rPr>
                <w:b/>
                <w:color w:val="FFFFFF"/>
                <w:sz w:val="19"/>
              </w:rPr>
              <w:t xml:space="preserve">Screen</w:t>
            </w:r>
          </w:p>
        </w:tc>
        <w:tc>
          <w:tcPr>
            <w:shd w:val="clear" w:color="auto" w:fill="1F3A5F"/>
          </w:tcPr>
          <w:p>
            <w:pPr>
              <w:pStyle w:val="Compact"/>
              <w:jc w:val="left"/>
            </w:pPr>
            <w:r>
              <w:rPr>
                <w:b/>
                <w:color w:val="FFFFFF"/>
                <w:sz w:val="19"/>
              </w:rPr>
              <w:t xml:space="preserve">PRD §</w:t>
            </w:r>
          </w:p>
        </w:tc>
      </w:tr>
      <w:tr>
        <w:tc>
          <w:tcPr/>
          <w:p>
            <w:pPr>
              <w:pStyle w:val="Compact"/>
              <w:jc w:val="left"/>
            </w:pPr>
            <w:r>
              <w:rPr>
                <w:b w:val="0"/>
                <w:color w:val="22303C"/>
                <w:sz w:val="18"/>
              </w:rPr>
              <w:t xml:space="preserve">Field home — assigned queue and sync state</w:t>
            </w:r>
          </w:p>
        </w:tc>
        <w:tc>
          <w:tcPr/>
          <w:p>
            <w:pPr>
              <w:pStyle w:val="Compact"/>
              <w:jc w:val="left"/>
            </w:pPr>
            <w:r>
              <w:rPr>
                <w:b w:val="0"/>
                <w:color w:val="22303C"/>
                <w:sz w:val="18"/>
              </w:rPr>
              <w:t xml:space="preserve">§7.10</w:t>
            </w:r>
          </w:p>
        </w:tc>
      </w:tr>
      <w:tr>
        <w:tc>
          <w:tcPr>
            <w:shd w:val="clear" w:color="auto" w:fill="EEF3F6"/>
          </w:tcPr>
          <w:p>
            <w:pPr>
              <w:pStyle w:val="Compact"/>
              <w:jc w:val="left"/>
            </w:pPr>
            <w:r>
              <w:rPr>
                <w:b w:val="0"/>
                <w:color w:val="22303C"/>
                <w:sz w:val="18"/>
              </w:rPr>
              <w:t xml:space="preserve">Survey capture — four-step structured checklist, structure condition, photo and GPS geotag, offline/online capture</w:t>
            </w:r>
          </w:p>
        </w:tc>
        <w:tc>
          <w:tcPr>
            <w:shd w:val="clear" w:color="auto" w:fill="EEF3F6"/>
          </w:tcPr>
          <w:p>
            <w:pPr>
              <w:pStyle w:val="Compact"/>
              <w:jc w:val="left"/>
            </w:pPr>
            <w:r>
              <w:rPr>
                <w:b w:val="0"/>
                <w:color w:val="22303C"/>
                <w:sz w:val="18"/>
              </w:rPr>
              <w:t xml:space="preserve">§7.10</w:t>
            </w:r>
          </w:p>
        </w:tc>
      </w:tr>
      <w:tr>
        <w:tc>
          <w:tcPr/>
          <w:p>
            <w:pPr>
              <w:pStyle w:val="Compact"/>
              <w:jc w:val="left"/>
            </w:pPr>
            <w:r>
              <w:rPr>
                <w:b w:val="0"/>
                <w:color w:val="22303C"/>
                <w:sz w:val="18"/>
              </w:rPr>
              <w:t xml:space="preserve">Submission history — own submissions with review status</w:t>
            </w:r>
          </w:p>
        </w:tc>
        <w:tc>
          <w:tcPr/>
          <w:p>
            <w:pPr>
              <w:pStyle w:val="Compact"/>
              <w:jc w:val="left"/>
            </w:pPr>
            <w:r>
              <w:rPr>
                <w:b w:val="0"/>
                <w:color w:val="22303C"/>
                <w:sz w:val="18"/>
              </w:rPr>
              <w:t xml:space="preserve">§7.10</w:t>
            </w:r>
          </w:p>
        </w:tc>
      </w:tr>
      <w:tr>
        <w:tc>
          <w:tcPr>
            <w:shd w:val="clear" w:color="auto" w:fill="EEF3F6"/>
          </w:tcPr>
          <w:p>
            <w:pPr>
              <w:pStyle w:val="Compact"/>
              <w:jc w:val="left"/>
            </w:pPr>
            <w:r>
              <w:rPr>
                <w:b w:val="0"/>
                <w:color w:val="22303C"/>
                <w:sz w:val="18"/>
              </w:rPr>
              <w:t xml:space="preserve">Field officer logistics — the same relocation records the SDMA Logistics tracker shows, scoped by RLS to the officer’s assigned zones, with assigned/in-transit/arrived status-advance actions</w:t>
            </w:r>
          </w:p>
        </w:tc>
        <w:tc>
          <w:tcPr>
            <w:shd w:val="clear" w:color="auto" w:fill="EEF3F6"/>
          </w:tcPr>
          <w:p>
            <w:pPr>
              <w:pStyle w:val="Compact"/>
              <w:jc w:val="left"/>
            </w:pPr>
            <w:r>
              <w:rPr>
                <w:b w:val="0"/>
                <w:color w:val="22303C"/>
                <w:sz w:val="18"/>
              </w:rPr>
              <w:t xml:space="preserve">§7.6</w:t>
            </w:r>
          </w:p>
        </w:tc>
      </w:tr>
    </w:tbl>
    <w:bookmarkEnd w:id="33"/>
    <w:bookmarkStart w:id="34" w:name="district-control-room"/>
    <w:p>
      <w:pPr>
        <w:pStyle w:val="Heading2"/>
      </w:pPr>
      <w:r>
        <w:t xml:space="preserve">District control room</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jc w:val="left"/>
            </w:pPr>
            <w:r>
              <w:rPr>
                <w:b/>
                <w:color w:val="FFFFFF"/>
                <w:sz w:val="19"/>
              </w:rPr>
              <w:t xml:space="preserve">Screen</w:t>
            </w:r>
          </w:p>
        </w:tc>
        <w:tc>
          <w:tcPr>
            <w:shd w:val="clear" w:color="auto" w:fill="1F3A5F"/>
          </w:tcPr>
          <w:p>
            <w:pPr>
              <w:pStyle w:val="Compact"/>
              <w:jc w:val="left"/>
            </w:pPr>
            <w:r>
              <w:rPr>
                <w:b/>
                <w:color w:val="FFFFFF"/>
                <w:sz w:val="19"/>
              </w:rPr>
              <w:t xml:space="preserve">PRD §</w:t>
            </w:r>
          </w:p>
        </w:tc>
      </w:tr>
      <w:tr>
        <w:tc>
          <w:tcPr/>
          <w:p>
            <w:pPr>
              <w:pStyle w:val="Compact"/>
              <w:jc w:val="left"/>
            </w:pPr>
            <w:r>
              <w:rPr>
                <w:b w:val="0"/>
                <w:color w:val="22303C"/>
                <w:sz w:val="18"/>
              </w:rPr>
              <w:t xml:space="preserve">Situation dashboard — read-only district view: zones, relocation progress, alerts</w:t>
            </w:r>
          </w:p>
        </w:tc>
        <w:tc>
          <w:tcPr/>
          <w:p>
            <w:pPr>
              <w:pStyle w:val="Compact"/>
              <w:jc w:val="left"/>
            </w:pPr>
            <w:r>
              <w:rPr>
                <w:b w:val="0"/>
                <w:color w:val="22303C"/>
                <w:sz w:val="18"/>
              </w:rPr>
              <w:t xml:space="preserve">§7.8</w:t>
            </w:r>
          </w:p>
        </w:tc>
      </w:tr>
    </w:tbl>
    <w:bookmarkEnd w:id="34"/>
    <w:bookmarkStart w:id="35" w:name="Xaf6f5f45eb78d4c73777ddf69b8d63ac0648b6f"/>
    <w:p>
      <w:pPr>
        <w:pStyle w:val="Heading2"/>
      </w:pPr>
      <w:r>
        <w:t xml:space="preserve">Shelter officer — live app only, not in the prototype</w:t>
      </w:r>
    </w:p>
    <w:p>
      <w:pPr>
        <w:pStyle w:val="FirstParagraph"/>
      </w:pPr>
      <w:r>
        <w:t xml:space="preserve">A fourth role added after the prototype was frozen (</w:t>
      </w:r>
      <w:r>
        <w:rPr>
          <w:rStyle w:val="VerbatimChar"/>
        </w:rPr>
        <w:t xml:space="preserve">docs/BUILD-PLAN.md</w:t>
      </w:r>
      <w:r>
        <w:t xml:space="preserve"> </w:t>
      </w:r>
      <w:r>
        <w:t xml:space="preserve">Phase 8; role and auth model in</w:t>
      </w:r>
      <w:r>
        <w:t xml:space="preserve"> </w:t>
      </w:r>
      <w:r>
        <w:rPr>
          <w:rStyle w:val="VerbatimChar"/>
        </w:rPr>
        <w:t xml:space="preserve">docs/TRD.md</w:t>
      </w:r>
      <w:r>
        <w:t xml:space="preserve"> </w:t>
      </w:r>
      <w:r>
        <w:t xml:space="preserve">§10). Authenticates with a bare shelter display code (e.g. </w:t>
      </w:r>
      <w:r>
        <w:rPr>
          <w:rStyle w:val="VerbatimChar"/>
        </w:rPr>
        <w:t xml:space="preserve">SH-01</w:t>
      </w:r>
      <w:r>
        <w:t xml:space="preserve">), not an account — a deliberately weaker credential scoped only to that one shelter, never the full shelter list.</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jc w:val="left"/>
            </w:pPr>
            <w:r>
              <w:rPr>
                <w:b/>
                <w:color w:val="FFFFFF"/>
                <w:sz w:val="19"/>
              </w:rPr>
              <w:t xml:space="preserve">Screen</w:t>
            </w:r>
          </w:p>
        </w:tc>
        <w:tc>
          <w:tcPr>
            <w:shd w:val="clear" w:color="auto" w:fill="1F3A5F"/>
          </w:tcPr>
          <w:p>
            <w:pPr>
              <w:pStyle w:val="Compact"/>
              <w:jc w:val="left"/>
            </w:pPr>
            <w:r>
              <w:rPr>
                <w:b/>
                <w:color w:val="FFFFFF"/>
                <w:sz w:val="19"/>
              </w:rPr>
              <w:t xml:space="preserve">PRD §</w:t>
            </w:r>
          </w:p>
        </w:tc>
      </w:tr>
      <w:tr>
        <w:tc>
          <w:tcPr/>
          <w:p>
            <w:pPr>
              <w:pStyle w:val="Compact"/>
              <w:jc w:val="left"/>
            </w:pPr>
            <w:r>
              <w:rPr>
                <w:b w:val="0"/>
                <w:color w:val="22303C"/>
                <w:sz w:val="18"/>
              </w:rPr>
              <w:t xml:space="preserve">Shelter officer dashboard — single-shelter occupancy, facilities, contact, needs list, status, reachable at</w:t>
            </w:r>
            <w:r>
              <w:rPr>
                <w:b w:val="0"/>
                <w:color w:val="22303C"/>
                <w:sz w:val="18"/>
              </w:rPr>
              <w:t xml:space="preserve"> </w:t>
            </w:r>
            <w:r>
              <w:rPr>
                <w:rStyle w:val="VerbatimChar"/>
                <w:b w:val="0"/>
                <w:color w:val="22303C"/>
                <w:sz w:val="18"/>
              </w:rPr>
              <w:t xml:space="preserve">/shelter-dashboard/:code</w:t>
            </w:r>
          </w:p>
        </w:tc>
        <w:tc>
          <w:tcPr/>
          <w:p>
            <w:pPr>
              <w:pStyle w:val="Compact"/>
              <w:jc w:val="left"/>
            </w:pPr>
            <w:r>
              <w:rPr>
                <w:b w:val="0"/>
                <w:color w:val="22303C"/>
                <w:sz w:val="18"/>
              </w:rPr>
              <w:t xml:space="preserve">§7.4</w:t>
            </w:r>
          </w:p>
        </w:tc>
      </w:tr>
    </w:tbl>
    <w:p>
      <w:pPr>
        <w:pStyle w:val="BodyText"/>
      </w:pPr>
      <w:r>
        <w:rPr>
          <w:bCs/>
          <w:b/>
        </w:rPr>
        <w:t xml:space="preserve">Not built in the prototype:</w:t>
      </w:r>
      <w:r>
        <w:t xml:space="preserve"> </w:t>
      </w:r>
      <w:r>
        <w:t xml:space="preserve">post-incident feedback loop (§7.12) — the screen that closes the loop between what the model predicted and what actually happened, and the natural answer to</w:t>
      </w:r>
      <w:r>
        <w:t xml:space="preserve"> </w:t>
      </w:r>
      <w:r>
        <w:rPr>
          <w:iCs/>
          <w:i/>
        </w:rPr>
        <w:t xml:space="preserve">“</w:t>
      </w:r>
      <w:r>
        <w:rPr>
          <w:iCs/>
          <w:i/>
        </w:rPr>
        <w:t xml:space="preserve">how do you know your risk model is right?</w:t>
      </w:r>
      <w:r>
        <w:rPr>
          <w:iCs/>
          <w:i/>
        </w:rPr>
        <w:t xml:space="preserve">”</w:t>
      </w:r>
      <w:r>
        <w:t xml:space="preserve"> </w:t>
      </w:r>
      <w:r>
        <w:t xml:space="preserve">The prototype was frozen as a reference before this was decided; the live app added the screen in Phase 13 (</w:t>
      </w:r>
      <w:r>
        <w:rPr>
          <w:rStyle w:val="VerbatimChar"/>
        </w:rPr>
        <w:t xml:space="preserve">docs/BUILD-PLAN.md</w:t>
      </w:r>
      <w:r>
        <w:t xml:space="preserve">) once the core loop (Phases 1–9) was done with time to spare — see</w:t>
      </w:r>
      <w:r>
        <w:t xml:space="preserve"> </w:t>
      </w:r>
      <w:r>
        <w:rPr>
          <w:rStyle w:val="VerbatimChar"/>
        </w:rPr>
        <w:t xml:space="preserve">frontend/src/pages/IncidentOutcomes.tsx</w:t>
      </w:r>
      <w:r>
        <w:t xml:space="preserve">.</w:t>
      </w:r>
    </w:p>
    <w:p>
      <w:r>
        <w:pict>
          <v:rect style="width:0;height:1.5pt" o:hralign="center" o:hrstd="t" o:hr="t"/>
        </w:pict>
      </w:r>
    </w:p>
    <w:bookmarkEnd w:id="35"/>
    <w:bookmarkEnd w:id="36"/>
    <w:bookmarkStart w:id="37" w:name="prototype-status"/>
    <w:p>
      <w:pPr>
        <w:spacing w:before="200" w:after="160"/>
        <w:pBdr>
          <w:bottom w:val="single" w:sz="6" w:space="1" w:color="AAAAAA"/>
        </w:pBdr>
      </w:pPr>
    </w:p>
    <w:p>
      <w:pPr>
        <w:pStyle w:val="Heading1"/>
      </w:pPr>
      <w:r>
        <w:t xml:space="preserve">6. Prototype Status</w:t>
      </w:r>
    </w:p>
    <w:p>
      <w:pPr>
        <w:pStyle w:val="FirstParagraph"/>
      </w:pPr>
      <w:r>
        <w:t xml:space="preserve">The full inventory above is built and interactive in</w:t>
      </w:r>
      <w:r>
        <w:t xml:space="preserve"> </w:t>
      </w:r>
      <w:r>
        <w:rPr>
          <w:rStyle w:val="VerbatimChar"/>
        </w:rPr>
        <w:t xml:space="preserve">PS191_Platform.dc.html</w:t>
      </w:r>
      <w:r>
        <w:t xml:space="preserve"> </w:t>
      </w:r>
      <w:r>
        <w:t xml:space="preserve">(with</w:t>
      </w:r>
      <w:r>
        <w:t xml:space="preserve"> </w:t>
      </w:r>
      <w:r>
        <w:rPr>
          <w:rStyle w:val="VerbatimChar"/>
        </w:rPr>
        <w:t xml:space="preserve">dima-hasao-map.html</w:t>
      </w:r>
      <w:r>
        <w:t xml:space="preserve"> </w:t>
      </w:r>
      <w:r>
        <w:t xml:space="preserve">for the Leaflet basemap and</w:t>
      </w:r>
      <w:r>
        <w:t xml:space="preserve"> </w:t>
      </w:r>
      <w:r>
        <w:rPr>
          <w:rStyle w:val="VerbatimChar"/>
        </w:rPr>
        <w:t xml:space="preserve">android-frame.jsx</w:t>
      </w:r>
      <w:r>
        <w:t xml:space="preserve"> </w:t>
      </w:r>
      <w:r>
        <w:t xml:space="preserve">for the mobile device frame). It carries working state, not static screens: sign-in switches role and navigation, shelter allocation writes a move and updates occupancy, moves advance through their status states, surveys can be approved or flagged, handoffs dispatch, and the field module captures offline and syncs.</w:t>
      </w:r>
    </w:p>
    <w:p>
      <w:pPr>
        <w:pStyle w:val="BodyText"/>
      </w:pPr>
      <w:r>
        <w:t xml:space="preserve">The basemap is real OpenStreetMap geography over Dima Hasao — Haflong, Maibang, Jatinga, Umrangso, Harangajao. Zone footprints, populations, households, shelters and route status are sample data, labelled as such in the interface.</w:t>
      </w:r>
    </w:p>
    <w:p>
      <w:pPr>
        <w:pStyle w:val="BodyText"/>
      </w:pPr>
      <w:r>
        <w:rPr>
          <w:bCs/>
          <w:b/>
        </w:rPr>
        <w:t xml:space="preserve">Known gaps, carried deliberately:</w:t>
      </w:r>
    </w:p>
    <w:p>
      <w:pPr>
        <w:numPr>
          <w:ilvl w:val="0"/>
          <w:numId w:val="1001"/>
        </w:numPr>
        <w:pStyle w:val="Compact"/>
      </w:pPr>
      <w:r>
        <w:rPr>
          <w:bCs/>
          <w:b/>
        </w:rPr>
        <w:t xml:space="preserve">Light theme is partial.</w:t>
      </w:r>
      <w:r>
        <w:t xml:space="preserve"> </w:t>
      </w:r>
      <w:r>
        <w:t xml:space="preserve">Markup is fully tokenised, but several colour maps computed in the view layer (survey review chips, handoff status chips, household source, shelter occupancy bars, logistics status, field queue priority) resolve to dark-theme hex regardless of theme. Dark is the demo default and the intended operating mode; the light override is not presentation-ready.</w:t>
      </w:r>
    </w:p>
    <w:p>
      <w:pPr>
        <w:numPr>
          <w:ilvl w:val="0"/>
          <w:numId w:val="1001"/>
        </w:numPr>
        <w:pStyle w:val="Compact"/>
      </w:pPr>
      <w:r>
        <w:rPr>
          <w:bCs/>
          <w:b/>
        </w:rPr>
        <w:t xml:space="preserve">Colour-blind-safe variant covers tier badges only</w:t>
      </w:r>
      <w:r>
        <w:t xml:space="preserve"> </w:t>
      </w:r>
      <w:r>
        <w:t xml:space="preserve">(see §2.6).</w:t>
      </w:r>
    </w:p>
    <w:p>
      <w:pPr>
        <w:numPr>
          <w:ilvl w:val="0"/>
          <w:numId w:val="1001"/>
        </w:numPr>
        <w:pStyle w:val="Compact"/>
      </w:pPr>
      <w:r>
        <w:rPr>
          <w:bCs/>
          <w:b/>
        </w:rPr>
        <w:t xml:space="preserve">No accessibility semantics.</w:t>
      </w:r>
      <w:r>
        <w:t xml:space="preserve"> </w:t>
      </w:r>
      <w:r>
        <w:t xml:space="preserve">All interactive elements are real buttons, but the document has no heading hierarchy, no ARIA attributes, and form labels are not programmatically associated with their inputs. This is a genuine gap for a government-facing platform and is the first thing to address past the hackathon.</w:t>
      </w:r>
    </w:p>
    <w:p>
      <w:pPr>
        <w:numPr>
          <w:ilvl w:val="0"/>
          <w:numId w:val="1001"/>
        </w:numPr>
        <w:pStyle w:val="Compact"/>
      </w:pPr>
      <w:r>
        <w:rPr>
          <w:bCs/>
          <w:b/>
        </w:rPr>
        <w:t xml:space="preserve">§7.12 has no screen in the prototype</w:t>
      </w:r>
      <w:r>
        <w:t xml:space="preserve"> </w:t>
      </w:r>
      <w:r>
        <w:t xml:space="preserve">(see §5) — the live app has since added one; see §5’s note.</w:t>
      </w:r>
    </w:p>
    <w:bookmarkEnd w:id="37"/>
    <w:sectPr>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hAnsi="Calibri"/>
      <w:color w:val="22303C"/>
      <w:sz w:val="21"/>
    </w:rPr>
  </w:style>
  <w:style w:styleId="BodyText" w:type="paragraph">
    <w:name w:val="Body Text"/>
    <w:basedOn w:val="Normal"/>
    <w:link w:val="BodyTextChar"/>
    <w:pPr>
      <w:spacing w:after="180" w:before="180"/>
    </w:pPr>
    <w:qFormat/>
    <w:rPr>
      <w:rFonts w:ascii="Calibri" w:hAnsi="Calibri"/>
      <w:color w:val="22303C"/>
      <w:sz w:val="21"/>
    </w:rPr>
  </w:style>
  <w:style w:customStyle="1" w:styleId="FirstParagraph" w:type="paragraph">
    <w:name w:val="First Paragraph"/>
    <w:basedOn w:val="BodyText"/>
    <w:next w:val="BodyText"/>
    <w:qFormat/>
    <w:rPr>
      <w:rFonts w:ascii="Calibri" w:hAnsi="Calibri"/>
      <w:color w:val="22303C"/>
      <w:sz w:val="21"/>
    </w:rPr>
  </w:style>
  <w:style w:customStyle="1" w:styleId="Compact" w:type="paragraph">
    <w:name w:val="Compact"/>
    <w:basedOn w:val="BodyText"/>
    <w:qFormat/>
    <w:pPr>
      <w:spacing w:after="36" w:before="36"/>
    </w:pPr>
    <w:rPr>
      <w:rFonts w:ascii="Calibri" w:hAnsi="Calibri"/>
      <w:color w:val="22303C"/>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Calibri" w:asciiTheme="majorHAnsi" w:cstheme="majorBidi" w:eastAsiaTheme="majorEastAsia" w:hAnsi="Calibri" w:hAnsiTheme="majorHAnsi"/>
      <w:b/>
      <w:bCs/>
      <w:color w:val="2E74B5"/>
      <w:sz w:val="32"/>
      <w:szCs w:val="32"/>
    </w:rPr>
  </w:style>
  <w:style w:styleId="Heading2" w:type="paragraph">
    <w:name w:val="Heading 2"/>
    <w:basedOn w:val="Normal"/>
    <w:next w:val="BodyText"/>
    <w:uiPriority w:val="9"/>
    <w:unhideWhenUsed/>
    <w:qFormat/>
    <w:pPr>
      <w:keepNext/>
      <w:keepLines/>
      <w:spacing w:after="100" w:before="200"/>
      <w:outlineLvl w:val="1"/>
    </w:pPr>
    <w:rPr>
      <w:rFonts w:ascii="Calibri" w:asciiTheme="majorHAnsi" w:cstheme="majorBidi" w:eastAsiaTheme="majorEastAsia" w:hAnsi="Calibri" w:hAnsiTheme="majorHAnsi"/>
      <w:b/>
      <w:bCs/>
      <w:color w:val="2E74B5"/>
      <w:sz w:val="26"/>
      <w:szCs w:val="28"/>
    </w:rPr>
  </w:style>
  <w:style w:styleId="Heading3" w:type="paragraph">
    <w:name w:val="Heading 3"/>
    <w:basedOn w:val="Normal"/>
    <w:next w:val="BodyText"/>
    <w:uiPriority w:val="9"/>
    <w:unhideWhenUsed/>
    <w:qFormat/>
    <w:pPr>
      <w:keepNext/>
      <w:keepLines/>
      <w:spacing w:after="80" w:before="160"/>
      <w:outlineLvl w:val="2"/>
    </w:pPr>
    <w:rPr>
      <w:rFonts w:ascii="Calibri" w:asciiTheme="majorHAnsi" w:cstheme="majorBidi" w:eastAsiaTheme="majorEastAsia" w:hAnsi="Calibri" w:hAnsiTheme="majorHAns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2E74B5"/>
      <w:sz w:val="22"/>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b/>
      <w:iCs/>
      <w:color w:val="1F4D78"/>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b/>
      <w:color w:val="1F4D78"/>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b/>
      <w:color w:val="1F4D78"/>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b/>
      <w:color w:val="1F4D78"/>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b/>
      <w:color w:val="1F4D78"/>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hAnsi="Calibri"/>
      <w:i/>
      <w:color w:val="2E74B5"/>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8A1F11"/>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74B5"/>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spacing w:line="240" w:lineRule="auto"/>
    </w:pPr>
    <w:rPr>
      <w:rFonts w:ascii="Consolas" w:hAnsi="Consolas"/>
      <w:b w:val="0"/>
      <w:color w:val="000000"/>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System</dc:title>
  <dc:creator/>
  <cp:keywords/>
  <dcterms:created xsi:type="dcterms:W3CDTF">2026-09-26T14:07:27Z</dcterms:created>
  <dcterms:modified xsi:type="dcterms:W3CDTF">2026-09-26T14:07:27Z</dcterms:modified>
</cp:coreProperties>
</file>

<file path=docProps/custom.xml><?xml version="1.0" encoding="utf-8"?>
<Properties xmlns="http://schemas.openxmlformats.org/officeDocument/2006/custom-properties" xmlns:vt="http://schemas.openxmlformats.org/officeDocument/2006/docPropsVTypes"/>
</file>