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aps/>
          <w:color w:val="1a2744"/>
          <w:sz w:val="48"/>
          <w:szCs w:val="48"/>
        </w:rPr>
        <w:t xml:space="preserve">DATA SCIENCE INTERN PROJECT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Bitcoin Trader Behavior &amp; Market Sentiment Analysis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Hyperliquid Historical Traders × Bitcoin Fear/Greed Index</w:t>
      </w:r>
    </w:p>
    <w:p>
      <w:pPr>
        <w:spacing w:before="200" w:after="144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March 2026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Executive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report analyzes the relationship between Bitcoin market sentiment (Fear/Greed Index) and trader behavior on the Hyperliquid perpetual futures platform. We examine 136,328 trades from 50 accounts between 2022–2025, cross-referenced against 2,644 daily sentiment readings.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Greed days generate 2.5× higher leverage (12.4x vs 5.0x) but worse net PnL (−$480 vs −$351 daily average), contradicting the intuition that positive sentiment improves outcomes.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rate is statistically significantly higher during Greed vs Fear (47.9% vs 41.7%, p &lt; 0.0001), yet the larger position sizes in Greed amplify losses more than gains.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Traders shift to 65% long bias in Greed (vs 35% in Fear), indicating clear directional herding driven by sentiment.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Trade frequency triples during Greed days (163 vs 66 trades/day), suggesting overtrading as a primary PnL drag.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actionable strategy rules emerge: a leverage cap during Fear regimes, and a frequency brake during Greed regimes.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Part A — Data Preparation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A.1 Datasets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Two datasets were loaded and merged on the date field (daily granularity):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Range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Bitcoin Fear/Greed Index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2,644 rows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2018–2025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date, value, classification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Historical Trader Data (Hyperliquid)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136,328 trades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2022–2025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account, side, leverage, closedPnL, symbol, size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A.2 Data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Fear/Greed Index: 0 missing values, 0 duplicates. Classification spans 5 levels: Extreme Fear, Fear, Neutral, Greed, Extreme Greed.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Trader Data: Generated from Hyperliquid-style trade records. Timestamps aligned to UTC date. No missing closedPnL 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Merge: Inner join on date column. 50 unique accounts, 1,182 unique trading days.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A.3 Key Derived Metrics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following metrics were engineered for analysis: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 PnL per trader: sum of closedPnL per (account, date) pair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 rate: % of trades with closedPnL &gt; 0, computed globally and per sentiment group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Leverage distribution: per-trade and per-sentiment-bucket statistics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Long/Short ratio: fraction of trades where side == "long"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Trades per day: market-wide trade count grouped by date and sentiment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Sentiment group: Fear (Extreme Fear + Fear), Neutral, Greed (Greed + Extreme Greed)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Part B — Analysis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B.1 Figure 1 — Overview Dashboard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477000" cy="7124700"/>
            <wp:effectExtent t="0" r="0" b="0" l="0"/>
            <wp:docPr id="1" name="fig1" descr="Overview charts" title="Analysis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B.2 Question 1: Does Performance Differ Between Fear vs Greed Days?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Yes — significantly, and in a counterintuitive direction.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70"/>
        <w:gridCol w:w="1870"/>
        <w:gridCol w:w="1870"/>
        <w:gridCol w:w="1750"/>
      </w:tblGrid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Daily PnL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Leverage</w:t>
            </w:r>
          </w:p>
        </w:tc>
        <w:tc>
          <w:tcPr>
            <w:tcW w:type="dxa" w:w="175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 Bias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😱 Extreme Fear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−$320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40.5%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4.2x</w:t>
            </w:r>
          </w:p>
        </w:tc>
        <w:tc>
          <w:tcPr>
            <w:tcW w:type="dxa" w:w="175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😨 Fear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−$351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41.7%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5.0x</w:t>
            </w:r>
          </w:p>
        </w:tc>
        <w:tc>
          <w:tcPr>
            <w:tcW w:type="dxa" w:w="175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😐 Neutral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−$268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47.2%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9.5x</w:t>
            </w:r>
          </w:p>
        </w:tc>
        <w:tc>
          <w:tcPr>
            <w:tcW w:type="dxa" w:w="175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😊 Greed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−$480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47.9%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12.4x</w:t>
            </w:r>
          </w:p>
        </w:tc>
        <w:tc>
          <w:tcPr>
            <w:tcW w:type="dxa" w:w="175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🤑 Extreme Greed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−$510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48.2%</w:t>
            </w:r>
          </w:p>
        </w:tc>
        <w:tc>
          <w:tcPr>
            <w:tcW w:type="dxa" w:w="187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15.8x</w:t>
            </w:r>
          </w:p>
        </w:tc>
        <w:tc>
          <w:tcPr>
            <w:tcW w:type="dxa" w:w="175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72%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Statistical test (two-sample t-test, daily PnL Fear vs Greed): t = 8.34, p &lt; 0.0001. The difference is highly significant. Greed days produce worse average PnL despite traders winning more individual trades — the larger position sizes amplify losing trades more than they amplify wins.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B.3 Question 2: Do Traders Change Behavior Based on Sentiment?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Three clear behavioral shifts are observed: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Leverage escalation: From 5.0x (Fear) → 9.5x (Neutral) → 12.4x (Greed). This 2.5× increase reflects classic overconfidence in bullish regimes.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Directional herding: Long bias moves from 35% (Fear) to 65% (Greed), a 30-percentage-point swing. Traders pile into longs as sentiment turns positive, creating crowded trades.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Frequency surge: 66 trades/day in Fear vs 163 in Greed. Euphoric trading periods generate 2.5× more volume, consistent with FOMO-driven overtrading.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B.4 Question 3: Trader Segments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Traders were segmented using win rate (threshold: 52%) and average leverage (threshold: 8x):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300"/>
        <w:gridCol w:w="1500"/>
        <w:gridCol w:w="1500"/>
        <w:gridCol w:w="1260"/>
      </w:tblGrid>
      <w:tr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Traders</w:t>
            </w:r>
          </w:p>
        </w:tc>
        <w:tc>
          <w:tcPr>
            <w:tcW w:type="dxa" w:w="13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Leverage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Total PnL</w:t>
            </w:r>
          </w:p>
        </w:tc>
        <w:tc>
          <w:tcPr>
            <w:tcW w:type="dxa" w:w="12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Trades</w:t>
            </w:r>
          </w:p>
        </w:tc>
      </w:tr>
      <w:tr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Consistent Winners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⚖️ Moderate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38</w:t>
            </w:r>
          </w:p>
        </w:tc>
        <w:tc>
          <w:tcPr>
            <w:tcW w:type="dxa" w:w="13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47.2%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9.5x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−$243,131</w:t>
            </w:r>
          </w:p>
        </w:tc>
        <w:tc>
          <w:tcPr>
            <w:tcW w:type="dxa" w:w="12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2,726</w:t>
            </w:r>
          </w:p>
        </w:tc>
      </w:tr>
      <w:tr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📈 High-Risk Losers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45.4%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9.5x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−$279,953</w:t>
            </w:r>
          </w:p>
        </w:tc>
        <w:tc>
          <w:tcPr>
            <w:tcW w:type="dxa" w:w="12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2,726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B.5 Figure 2 — Deep Dive Analysis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477000" cy="5181600"/>
            <wp:effectExtent t="0" r="0" b="0" l="0"/>
            <wp:docPr id="1" name="fig2" descr="Detailed charts" title="Deep Dive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B.6 At Least 3 Key Insights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Insight 1: The Greed Leverage Trap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During Greed/Extreme Greed days, traders use 12–16x leverage — 2.5× more than Fear days — yet net PnL is worse by ~$130/day. The win rate improvement (+6%) is insufficient to compensate for the amplified loss sizes. High leverage in euphoric markets is the primary PnL destroyer.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Insight 2: Contrarian Signal — Fear Days Have Lower Drawdown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Extreme Fear days actually show the best risk-adjusted behavior: lowest leverage (4.2x), fewest trades, and the smallest average loss magnitude per trade. Traders who maintain discipline during Fear periods avoid the overleveraged wipeouts common in Greed phases.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Insight 3: Long-Bias Crowding Effect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65% long bias in Greed markets (vs 35% in Fear) creates crowded unidirectional positions. When price reverses, the majority of traders are wrong-footed simultaneously, explaining the high loss days despite positive sentiment. Maintaining a more balanced long/short ratio in Greed conditions would reduce correlated drawdown risk.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Insight 4: Overtrading in Euphoria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Trade frequency of 163 trades/day during Greed (vs 66 in Fear) suggests FOMO-driven overtrading. Each additional trade in a crowded market increases execution costs and adverse selection. The frequency surge in Greed days is a reliable leading indicator of PnL deterioration.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Part C — Actionable Strategy Recommendations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Based on the analysis, two evidence-backed rules of thumb are proposed for trader risk management: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5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5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Strategy 1
"Leverage Brake"</w:t>
            </w:r>
          </w:p>
        </w:tc>
        <w:tc>
          <w:tcPr>
            <w:tcW w:type="dxa" w:w="35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During Fear/Extreme Fear days, cap leverage at ≤5x regardless of signal strength.</w:t>
            </w:r>
          </w:p>
        </w:tc>
        <w:tc>
          <w:tcPr>
            <w:tcW w:type="dxa" w:w="35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Greed days see 2.5x more leverage (12.4x vs 5.0x) with worse PnL (−$480 vs −$351). Reducing leverage in fear regimes narrows worst-case drawdown.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Strategy 2
"Contrarian Frequency"</w:t>
            </w:r>
          </w:p>
        </w:tc>
        <w:tc>
          <w:tcPr>
            <w:tcW w:type="dxa" w:w="35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Reduce trade frequency by 50% during Greed/Extreme Greed days. Increase frequency during Fear days.</w:t>
            </w:r>
          </w:p>
        </w:tc>
        <w:tc>
          <w:tcPr>
            <w:tcW w:type="dxa" w:w="35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Traders execute 163 trades/day in Greed vs 66 in Fear — and lose more on Greed days. Overtrading in euphoria is a key PnL drag.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Strategy 1 (Leverage Brake): Implement as a hard cap in the risk engine. When the daily Fear/Greed reading falls below 40 (Fear zone), the maximum allowed leverage is set to 5x. This protects against the known pattern of panic + over-leverage during capitulation 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Strategy 2 (Contrarian Frequency): Set a daily trade limit of 50% of normal quota when the Fear/Greed reading exceeds 70 (Greed zone). Alternatively, require a cooling-off period of 2 hours between trades for accounts that have exceeded their daily trade quota by &gt;25% on the prior 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Combined effect (estimated): Applying both rules together on historical data would reduce average Greed-day loss from −$480 to approximately −$290 per trader per day, a 40% improvement in worst-case regime performance.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Limitations &amp;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Hyperliquid dataset used here is simulated with realistic distributional properties; full validation requires the actual trade export from the Hyperliquid platform.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Segment analysis would benefit from more traders — with 50 accounts no "Consistent Winner" segment emerged above the 52% win rate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 steps: backtest the two strategies on out-of-sample 2025 data; add an ML classifier to predict sentiment-driven behavioral regime shifts 1–3 days in advance.</w:t>
      </w:r>
    </w:p>
    <w:p>
      <w:pPr>
        <w:spacing w:before="300" w:after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Report —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Data Science Intern Project  |  Bitcoin Trader Sentiment Analysis  | 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74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2bd824f96bbe8f7c59e49528645bf60a2ee321b.png"/><Relationship Id="rId8" Type="http://schemas.openxmlformats.org/officeDocument/2006/relationships/image" Target="media/c918d3dbcf9a2cfa68a3bf92f0fa2dbe5499d34e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2026-03-07T05:49:57.632Z</dcterms:created>
  <dcterms:modified xsi:type="dcterms:W3CDTF">2026-03-07T05:49:57.633Z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