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24" w:lineRule="auto"/>
        <w:jc w:val="center"/>
      </w:pPr>
      <w:r>
        <w:rPr>
          <w:rFonts w:ascii="黑体" w:hAnsi="黑体" w:eastAsia="黑体"/>
          <w:b/>
          <w:sz w:val="40"/>
        </w:rPr>
        <w:t>测试脚本运行配置说明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班级：软硕2502班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产品主题：校园鲜达（Campus Fresh）生鲜商城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小组长：胡喆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文档类型：GUI 测试脚本运行配置说明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  测试工具概述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GUI 测试脚本使用 Playwright（Python 版）驱动本机 Microsoft Edge 浏览器，以无头（headless）方式自动完成页面操作并逐步截图，用于替代重复的人工点击，同时保证证据可留存、可复现。工具清单如下：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608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工具名称</w:t>
            </w:r>
          </w:p>
        </w:tc>
        <w:tc>
          <w:tcPr>
            <w:tcW w:type="dxa" w:w="2835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628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下载地址</w:t>
            </w:r>
          </w:p>
        </w:tc>
      </w:tr>
      <w:tr>
        <w:tc>
          <w:tcPr>
            <w:tcW w:type="dxa" w:w="260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Playwright（Python 版）</w:t>
            </w:r>
          </w:p>
        </w:tc>
        <w:tc>
          <w:tcPr>
            <w:tcW w:type="dxa" w:w="2835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1.62.0</w:t>
            </w:r>
          </w:p>
        </w:tc>
        <w:tc>
          <w:tcPr>
            <w:tcW w:type="dxa" w:w="36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https://playwright.dev/python/</w:t>
            </w:r>
          </w:p>
        </w:tc>
      </w:tr>
      <w:tr>
        <w:tc>
          <w:tcPr>
            <w:tcW w:type="dxa" w:w="260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浏览器内核</w:t>
            </w:r>
          </w:p>
        </w:tc>
        <w:tc>
          <w:tcPr>
            <w:tcW w:type="dxa" w:w="2835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Microsoft Edge（Chromium，随系统安装）</w:t>
            </w:r>
          </w:p>
        </w:tc>
        <w:tc>
          <w:tcPr>
            <w:tcW w:type="dxa" w:w="36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https://www.microsoft.com/edge</w:t>
            </w:r>
          </w:p>
        </w:tc>
      </w:tr>
      <w:tr>
        <w:tc>
          <w:tcPr>
            <w:tcW w:type="dxa" w:w="260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Python（脚本运行环境）</w:t>
            </w:r>
          </w:p>
        </w:tc>
        <w:tc>
          <w:tcPr>
            <w:tcW w:type="dxa" w:w="2835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3.13（本组使用的虚拟环境）</w:t>
            </w:r>
          </w:p>
        </w:tc>
        <w:tc>
          <w:tcPr>
            <w:tcW w:type="dxa" w:w="36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https://www.python.org/downloads/</w:t>
            </w:r>
          </w:p>
        </w:tc>
      </w:tr>
      <w:tr>
        <w:tc>
          <w:tcPr>
            <w:tcW w:type="dxa" w:w="260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Python（被测系统运行环境）</w:t>
            </w:r>
          </w:p>
        </w:tc>
        <w:tc>
          <w:tcPr>
            <w:tcW w:type="dxa" w:w="2835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3.10.10</w:t>
            </w:r>
          </w:p>
        </w:tc>
        <w:tc>
          <w:tcPr>
            <w:tcW w:type="dxa" w:w="36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https://www.python.org/downloads/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2  测试脚本说明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2.1  运行条件与配置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运行条件：Windows 11（64 位）+ 已安装的 Microsoft Edge。被测系统运行在 Python 3.10.10 + Django 3.2.25 上；GUI 脚本本身运行在 Python 3.13 的虚拟环境中（playwright 1.62.0），两者互不影响，脚本通过网络访问 127.0.0.1:8000 操作页面。Playwright 以通道方式复用系统 Edge，无需下载额外浏览器内核。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安装与运行步骤：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1）安装依赖：pip install playwright（国内可加 -i https://pypi.tuna.tsinghua.edu.cn/simple）；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2）确认系统已安装 Microsoft Edge；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3）先启动被测服务：python manage.py runserver 127.0.0.1:8000（脚本通过 http://127.0.0.1:8000 访问）；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4）（可选）装载演示数据：python manage.py load_demo_data；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5）运行脚本：python scripts/run_manual_cases_playwright.py；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6）查看产物：截图输出到 docs/testing/evidence/，执行记录输出到 docs/testing/manual_case_run_log.json。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2.2  测试脚本功能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脚本 scripts/run_manual_cases_playwright.py 覆盖成员 C 的 11 条人工用例（C-CART-002 至 C-ORD-006），自动完成登录、商品详情加购、改数量、删除条目、越权访问、提交订单、库存不足回滚、连续下单、无效参数提交等操作，每个步骤截图并按「用例编号-简述.png」命名，同时把页面上的关键数值（库存、数量、金额、订单号）记录到 JSON，供回填《附录3：测试用例清单》的「实际结果」列。脚本会自动接受页面弹出的确认框，避免人工干预。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2.3  账号说明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脚本使用两个演示账号：test01 与 test02，密码均为 123456。其中「越权访问」类用例需要两个账号同时登录，脚本为此创建了两个独立浏览器上下文，互不共享会话。演示账号由 python manage.py load_demo_data 生成，仅含脱敏数据，不含真实手机号、地址或密码。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3  测试脚本运行效果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脚本执行后共输出 76 张截图，成员 C 的 12 条用例（含组长示例用例 C-CART-001）在《附录3：测试用例清单》中引用了 73 张，另 3 张为早期执行留存。各用例的截图数量如下：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截图数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C-CART-001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登录并加购后查看购物车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C-CART-002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数量为零与负数的边界处理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C-CART-003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加入数量超过库存的拒绝与夹取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C-CART-004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修改数量后小计与合计重算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C-CART-005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删除条目后行数与金额变化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C-CART-006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跨账号越权访问被拒绝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C-ORD-001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从购物车正常提交订单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C-ORD-002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无收货地址时提交被拦截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C-ORD-003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篡改前端总额后服务器重算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C-ORD-004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库存不足时下单回滚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C-ORD-005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连续创建两笔订单编号唯一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C-ORD-006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无效购物车编号的错误提示</w:t>
            </w:r>
          </w:p>
        </w:tc>
      </w:tr>
      <w:tr>
        <w:tc>
          <w:tcPr>
            <w:tcW w:type="dxa" w:w="1928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134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73</w:t>
            </w:r>
          </w:p>
        </w:tc>
        <w:tc>
          <w:tcPr>
            <w:tcW w:type="dxa" w:w="60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另有 3 张为早期执行留存，共 76 张</w:t>
            </w:r>
          </w:p>
        </w:tc>
      </w:tr>
    </w:tbl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运行效果截图示例（真实执行产物，存放于 docs/testing/evidence/）：</w:t>
      </w:r>
    </w:p>
    <w:p>
      <w:r>
        <w:drawing>
          <wp:inline xmlns:a="http://schemas.openxmlformats.org/drawingml/2006/main" xmlns:pic="http://schemas.openxmlformats.org/drawingml/2006/picture">
            <wp:extent cx="4680000" cy="2404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CART-001-加购后购物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0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24" w:lineRule="auto"/>
        <w:jc w:val="center"/>
      </w:pPr>
      <w:r>
        <w:rPr>
          <w:rFonts w:ascii="黑体" w:hAnsi="黑体" w:eastAsia="黑体"/>
          <w:b/>
          <w:sz w:val="20"/>
        </w:rPr>
        <w:t>图  C-CART-001-加购后购物车.png</w:t>
      </w:r>
    </w:p>
    <w:p>
      <w:r>
        <w:drawing>
          <wp:inline xmlns:a="http://schemas.openxmlformats.org/drawingml/2006/main" xmlns:pic="http://schemas.openxmlformats.org/drawingml/2006/picture">
            <wp:extent cx="4680000" cy="3097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CART-004-合计与件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24" w:lineRule="auto"/>
        <w:jc w:val="center"/>
      </w:pPr>
      <w:r>
        <w:rPr>
          <w:rFonts w:ascii="黑体" w:hAnsi="黑体" w:eastAsia="黑体"/>
          <w:b/>
          <w:sz w:val="20"/>
        </w:rPr>
        <w:t>图  C-CART-004-合计与件数.png</w:t>
      </w:r>
    </w:p>
    <w:p>
      <w:r>
        <w:drawing>
          <wp:inline xmlns:a="http://schemas.openxmlformats.org/drawingml/2006/main" xmlns:pic="http://schemas.openxmlformats.org/drawingml/2006/picture">
            <wp:extent cx="4680000" cy="3097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ORD-003-订单金额仍为29.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24" w:lineRule="auto"/>
        <w:jc w:val="center"/>
      </w:pPr>
      <w:r>
        <w:rPr>
          <w:rFonts w:ascii="黑体" w:hAnsi="黑体" w:eastAsia="黑体"/>
          <w:b/>
          <w:sz w:val="20"/>
        </w:rPr>
        <w:t>图  C-ORD-003-订单金额仍为29.80.png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统计结论：11 条用例全部由脚本自动执行完毕，步骤级截图与页面关键数值一一对应，人工复核时可直接对照《附录3》中的「预期结果」与「实际结果」。脚本可在数分钟内重跑一遍全部用例，便于缺陷修复后快速回归。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