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B25" w:rsidRDefault="00837861" w14:paraId="7BDC4953" w14:textId="77777777">
      <w:pPr>
        <w:pStyle w:val="a5"/>
        <w:jc w:val="center"/>
        <w:divId w:val="75371488"/>
      </w:pPr>
      <w:r>
        <w:rPr>
          <w:rStyle w:val="a6"/>
        </w:rPr>
        <w:t>Орієнтовний перелік обов'язкових документів кадрової служби допоможе впорядкувати діловодство та підготуватися до перевірок.</w:t>
      </w:r>
    </w:p>
    <w:tbl>
      <w:tblPr>
        <w:tblW w:w="5001" w:type="pct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4104"/>
        <w:gridCol w:w="4394"/>
        <w:gridCol w:w="843"/>
      </w:tblGrid>
      <w:tr w:rsidR="00BD0B25" w:rsidTr="37C4CD05" w14:paraId="3ED295A0" w14:textId="77777777">
        <w:trPr>
          <w:trHeight w:val="20"/>
          <w:tblHeader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20449A8F" w14:textId="77777777">
            <w:pPr>
              <w:pStyle w:val="anchor"/>
              <w:jc w:val="center"/>
            </w:pPr>
            <w:r>
              <w:rPr>
                <w:rStyle w:val="a6"/>
              </w:rPr>
              <w:t>Документ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9C832FB" w14:textId="77777777">
            <w:pPr>
              <w:pStyle w:val="anchor"/>
              <w:jc w:val="center"/>
            </w:pPr>
            <w:r>
              <w:rPr>
                <w:rStyle w:val="a6"/>
              </w:rPr>
              <w:t>Підстави</w:t>
            </w:r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351E9BD5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Є</w:t>
            </w:r>
          </w:p>
        </w:tc>
      </w:tr>
      <w:tr w:rsidR="00BD0B25" w:rsidTr="37C4CD05" w14:paraId="0EA696DF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04995975" w14:textId="7939C141">
            <w:pPr>
              <w:pStyle w:val="anchor"/>
            </w:pPr>
            <w:r w:rsidR="639C3EE3">
              <w:rPr/>
              <w:t>Номенклатура справ відділу кадрів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14267ECF" w14:textId="77777777">
            <w:pPr>
              <w:pStyle w:val="anchor"/>
            </w:pPr>
            <w:hyperlink w:tgtFrame="_blank" w:history="1" w:anchor="5116cdc830" r:id="rId6">
              <w:r>
                <w:rPr>
                  <w:rStyle w:val="a3"/>
                </w:rPr>
                <w:t>ст. 1</w:t>
              </w:r>
            </w:hyperlink>
            <w:r>
              <w:t xml:space="preserve">, </w:t>
            </w:r>
            <w:hyperlink w:tgtFrame="_blank" w:history="1" w:anchor="59aa9bfb31" r:id="rId7">
              <w:r>
                <w:rPr>
                  <w:rStyle w:val="a3"/>
                </w:rPr>
                <w:t>32 Закону України «Про Національний архівний фонд та архівні установи» від 24.12.1993 № 3814-XII</w:t>
              </w:r>
            </w:hyperlink>
            <w:r>
              <w:t>;</w:t>
            </w:r>
          </w:p>
          <w:p w:rsidR="00BD0B25" w:rsidRDefault="00837861" w14:paraId="36A020BC" w14:textId="77777777">
            <w:pPr>
              <w:pStyle w:val="anchor"/>
            </w:pPr>
            <w:hyperlink w:tgtFrame="_blank" w:history="1" w:anchor="f89eebcc0b" r:id="rId8">
              <w:r>
                <w:rPr>
                  <w:rStyle w:val="a3"/>
                </w:rPr>
                <w:t>Правила організації діловодства та архівного зберігання документів у державних органах, органах місцевого самоврядування, на підприємствах, в установах і організаціях</w:t>
              </w:r>
            </w:hyperlink>
            <w:r>
              <w:t>, зат</w:t>
            </w:r>
            <w:r>
              <w:t>верджені наказом Мін’юсту від 18.06.2015 № 1000/5 (далі — Правила № 1000/5)</w:t>
            </w:r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0B6CEB11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11F0ECBE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46976969" w14:textId="2EE9E53E">
            <w:pPr>
              <w:pStyle w:val="anchor"/>
            </w:pPr>
            <w:r w:rsidR="639C3EE3">
              <w:rPr/>
              <w:t>Правила внутрішнього трудового розпорядку</w:t>
            </w:r>
            <w:r w:rsidR="639C3EE3">
              <w:rPr/>
              <w:t>* (</w:t>
            </w:r>
            <w:r w:rsidR="639C3EE3">
              <w:rPr/>
              <w:t>оригінал</w:t>
            </w:r>
            <w:r w:rsidR="639C3EE3">
              <w:rPr/>
              <w:t xml:space="preserve"> </w:t>
            </w:r>
            <w:r w:rsidR="639C3EE3">
              <w:rPr/>
              <w:t>або</w:t>
            </w:r>
            <w:r w:rsidR="639C3EE3">
              <w:rPr/>
              <w:t xml:space="preserve"> </w:t>
            </w:r>
            <w:r w:rsidR="639C3EE3">
              <w:rPr/>
              <w:t>копія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7F03EEFC" w14:textId="77777777">
            <w:pPr>
              <w:pStyle w:val="anchor"/>
            </w:pPr>
            <w:hyperlink w:tgtFrame="_blank" w:history="1" w:anchor="660407952c" r:id="rId10">
              <w:r>
                <w:rPr>
                  <w:rStyle w:val="a3"/>
                </w:rPr>
                <w:t>ст. 142 КЗпП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5AA9A700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327E8BBD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D8B40FC" w14:textId="22ED90AB">
            <w:pPr>
              <w:pStyle w:val="anchor"/>
            </w:pPr>
            <w:r w:rsidR="639C3EE3">
              <w:rPr/>
              <w:t>Пол</w:t>
            </w:r>
            <w:r w:rsidR="639C3EE3">
              <w:rPr/>
              <w:t>оження про відділ кадрів</w:t>
            </w:r>
            <w:r w:rsidR="639C3EE3">
              <w:rPr/>
              <w:t>* (</w:t>
            </w:r>
            <w:r w:rsidR="639C3EE3">
              <w:rPr/>
              <w:t>оригінал</w:t>
            </w:r>
            <w:r w:rsidR="639C3EE3">
              <w:rPr/>
              <w:t xml:space="preserve"> </w:t>
            </w:r>
            <w:r w:rsidR="639C3EE3">
              <w:rPr/>
              <w:t>або</w:t>
            </w:r>
            <w:r w:rsidR="639C3EE3">
              <w:rPr/>
              <w:t xml:space="preserve"> </w:t>
            </w:r>
            <w:r w:rsidR="639C3EE3">
              <w:rPr/>
              <w:t>копія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76FE7F05" w14:textId="77777777">
            <w:pPr>
              <w:pStyle w:val="anchor"/>
            </w:pPr>
            <w:hyperlink w:tgtFrame="_blank" w:history="1" w:anchor="ece2bbf52f" r:id="rId12">
              <w:r>
                <w:rPr>
                  <w:rStyle w:val="a3"/>
                </w:rPr>
                <w:t>ч. 3 ст. 64 Господарського кодексу України</w:t>
              </w:r>
            </w:hyperlink>
            <w:r>
              <w:t xml:space="preserve"> (ГК)</w:t>
            </w:r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3605AE77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1644AAFB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08626C31" w14:textId="26F8969E">
            <w:pPr>
              <w:pStyle w:val="anchor"/>
            </w:pPr>
            <w:r w:rsidR="639C3EE3">
              <w:rPr/>
              <w:t>Посадові інструкції працівників відділу кадрів</w:t>
            </w:r>
            <w:r w:rsidR="639C3EE3">
              <w:rPr/>
              <w:t>* (</w:t>
            </w:r>
            <w:r w:rsidR="639C3EE3">
              <w:rPr/>
              <w:t>оригінали</w:t>
            </w:r>
            <w:r w:rsidR="639C3EE3">
              <w:rPr/>
              <w:t xml:space="preserve"> </w:t>
            </w:r>
            <w:r w:rsidR="639C3EE3">
              <w:rPr/>
              <w:t>або</w:t>
            </w:r>
            <w:r w:rsidR="639C3EE3">
              <w:rPr/>
              <w:t xml:space="preserve"> </w:t>
            </w:r>
            <w:r w:rsidR="639C3EE3">
              <w:rPr/>
              <w:t>копія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0919157D" w14:textId="77777777">
            <w:pPr>
              <w:pStyle w:val="anchor"/>
            </w:pPr>
            <w:hyperlink w:tgtFrame="_blank" w:history="1" w:anchor="e24733ed02" r:id="rId14">
              <w:r>
                <w:rPr>
                  <w:rStyle w:val="a3"/>
                </w:rPr>
                <w:t>ст. 29 КЗпП</w:t>
              </w:r>
            </w:hyperlink>
            <w:r>
              <w:t>;</w:t>
            </w:r>
          </w:p>
          <w:p w:rsidR="00BD0B25" w:rsidRDefault="00837861" w14:paraId="075FB60C" w14:textId="77777777">
            <w:pPr>
              <w:pStyle w:val="anchor"/>
            </w:pPr>
            <w:hyperlink w:tgtFrame="_blank" w:history="1" w:anchor="a4abedbbc5" r:id="rId15">
              <w:r>
                <w:rPr>
                  <w:rStyle w:val="a3"/>
                </w:rPr>
                <w:t>розділ 1 «Загальні положення» Випуску 1 ДКХП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61AA7139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0C7D2B82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755BA5E6" w14:textId="61BF19BB">
            <w:pPr>
              <w:pStyle w:val="anchor"/>
            </w:pPr>
            <w:r w:rsidR="639C3EE3">
              <w:rPr/>
              <w:t>Штатний розпис</w:t>
            </w:r>
            <w:r w:rsidR="639C3EE3">
              <w:rPr/>
              <w:t>* (</w:t>
            </w:r>
            <w:r w:rsidR="639C3EE3">
              <w:rPr/>
              <w:t>копія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5F64879" w14:textId="77777777">
            <w:pPr>
              <w:pStyle w:val="anchor"/>
            </w:pPr>
            <w:hyperlink w:tgtFrame="_blank" w:history="1" w:anchor="3a8dc7b6d0" r:id="rId17">
              <w:r>
                <w:rPr>
                  <w:rStyle w:val="a3"/>
                </w:rPr>
                <w:t>ст. 64 ГК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0844FCC3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4B618AF6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639D478" w14:textId="29ADE6EC">
            <w:pPr>
              <w:pStyle w:val="anchor"/>
            </w:pPr>
            <w:r w:rsidR="639C3EE3">
              <w:rPr/>
              <w:t>Графік відпусток</w:t>
            </w:r>
            <w:r w:rsidR="639C3EE3">
              <w:rPr/>
              <w:t>*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0BA450D" w14:textId="77777777">
            <w:pPr>
              <w:pStyle w:val="anchor"/>
            </w:pPr>
            <w:hyperlink w:tgtFrame="_blank" w:history="1" w:anchor="d765d270d5" r:id="rId19">
              <w:r>
                <w:rPr>
                  <w:rStyle w:val="a3"/>
                </w:rPr>
                <w:t>ст. 10 Закону України «Про відпустки» від 15.11.1996 № 504/96-</w:t>
              </w:r>
              <w:r>
                <w:rPr>
                  <w:rStyle w:val="a3"/>
                </w:rPr>
                <w:t>ВР</w:t>
              </w:r>
            </w:hyperlink>
            <w:r>
              <w:t>;</w:t>
            </w:r>
          </w:p>
          <w:p w:rsidR="00BD0B25" w:rsidRDefault="00837861" w14:paraId="64074BA9" w14:textId="77777777">
            <w:pPr>
              <w:pStyle w:val="anchor"/>
            </w:pPr>
            <w:hyperlink w:tgtFrame="_blank" w:history="1" w:anchor="2cb7514437" r:id="rId20">
              <w:r>
                <w:rPr>
                  <w:rStyle w:val="a3"/>
                </w:rPr>
                <w:t>ч. 4 ст. 79 КЗпП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09EA141E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2423DC70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2F73A3B" w14:textId="7B673CBF">
            <w:pPr>
              <w:pStyle w:val="anchor"/>
            </w:pPr>
            <w:r w:rsidR="639C3EE3">
              <w:rPr/>
              <w:t>Положення</w:t>
            </w:r>
            <w:r w:rsidR="639C3EE3">
              <w:rPr/>
              <w:t xml:space="preserve"> про оплату </w:t>
            </w:r>
            <w:r w:rsidR="639C3EE3">
              <w:rPr/>
              <w:t>праці</w:t>
            </w:r>
            <w:r w:rsidR="639C3EE3">
              <w:rPr/>
              <w:t xml:space="preserve"> </w:t>
            </w:r>
            <w:r w:rsidR="639C3EE3">
              <w:rPr/>
              <w:t>або</w:t>
            </w:r>
            <w:r w:rsidR="639C3EE3">
              <w:rPr/>
              <w:t xml:space="preserve"> </w:t>
            </w:r>
            <w:r w:rsidR="639C3EE3">
              <w:rPr/>
              <w:t>колективний договір</w:t>
            </w:r>
            <w:r w:rsidR="639C3EE3">
              <w:rPr/>
              <w:t>* (</w:t>
            </w:r>
            <w:r w:rsidR="639C3EE3">
              <w:rPr/>
              <w:t>копії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773DCB05" w14:textId="77777777">
            <w:pPr>
              <w:pStyle w:val="anchor"/>
            </w:pPr>
            <w:hyperlink w:tgtFrame="_blank" w:history="1" w:anchor="e0c0853be8" r:id="rId22">
              <w:r>
                <w:rPr>
                  <w:rStyle w:val="a3"/>
                </w:rPr>
                <w:t>ст. 115 КЗпП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0B7237EC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43F85CAE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30CE6B3A" w14:textId="46C39FE1">
            <w:pPr>
              <w:pStyle w:val="anchor"/>
            </w:pPr>
            <w:r w:rsidR="639C3EE3">
              <w:rPr/>
              <w:t>Положення про порядок обробки персональних даних працівників та контрагентів</w:t>
            </w:r>
            <w:r w:rsidR="639C3EE3">
              <w:rPr/>
              <w:t>* (</w:t>
            </w:r>
            <w:r w:rsidR="639C3EE3">
              <w:rPr/>
              <w:t>копія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08EA1148" w14:textId="77777777">
            <w:pPr>
              <w:pStyle w:val="anchor"/>
            </w:pPr>
            <w:hyperlink w:tgtFrame="_blank" w:history="1" r:id="rId24">
              <w:r>
                <w:rPr>
                  <w:rStyle w:val="a3"/>
                </w:rPr>
                <w:t>Закон України «Про захист персональних даних» від 01.06.2010 № 2297-VI</w:t>
              </w:r>
            </w:hyperlink>
            <w:r>
              <w:t xml:space="preserve"> (далі — Закон про захист персональних даних)</w:t>
            </w:r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7EEA952F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5B41E34D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AA6CE17" w14:textId="6D25B798">
            <w:pPr>
              <w:pStyle w:val="anchor"/>
            </w:pPr>
            <w:r w:rsidR="639C3EE3">
              <w:rPr/>
              <w:t>Зобов’язання про нерозголошення персон</w:t>
            </w:r>
            <w:r w:rsidR="639C3EE3">
              <w:rPr/>
              <w:t>альних даних</w:t>
            </w:r>
            <w:r w:rsidR="639C3EE3">
              <w:rPr/>
              <w:t>*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443E39E2" w14:textId="77777777">
            <w:pPr>
              <w:pStyle w:val="anchor"/>
            </w:pPr>
            <w:hyperlink w:tgtFrame="_blank" w:history="1" w:anchor="8f502edda0" r:id="rId26">
              <w:r>
                <w:rPr>
                  <w:rStyle w:val="a3"/>
                </w:rPr>
                <w:t>ст. 10 Закону про захист персональних даних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3555C008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24616CBC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272EE08A" w14:textId="58F39D12">
            <w:pPr>
              <w:pStyle w:val="anchor"/>
            </w:pPr>
            <w:r w:rsidR="639C3EE3">
              <w:rPr/>
              <w:t>Письмові трудові договори працівників, для яких обов’язково укладати трудовий договір у письмовій формі</w:t>
            </w:r>
            <w:r w:rsidR="639C3EE3">
              <w:rPr/>
              <w:t> (</w:t>
            </w:r>
            <w:r w:rsidR="639C3EE3">
              <w:rPr/>
              <w:t>обов’язковий</w:t>
            </w:r>
            <w:r w:rsidR="639C3EE3">
              <w:rPr/>
              <w:t>,</w:t>
            </w:r>
            <w:r w:rsidR="639C3EE3">
              <w:rPr/>
              <w:t xml:space="preserve"> </w:t>
            </w:r>
            <w:r w:rsidR="639C3EE3">
              <w:rPr/>
              <w:t>крім</w:t>
            </w:r>
            <w:r w:rsidR="639C3EE3">
              <w:rPr/>
              <w:t xml:space="preserve"> </w:t>
            </w:r>
            <w:r w:rsidR="639C3EE3">
              <w:rPr/>
              <w:t>періоду</w:t>
            </w:r>
            <w:r w:rsidR="639C3EE3">
              <w:rPr/>
              <w:t xml:space="preserve"> </w:t>
            </w:r>
            <w:r w:rsidR="639C3EE3">
              <w:rPr/>
              <w:t>дії</w:t>
            </w:r>
            <w:r w:rsidR="639C3EE3">
              <w:rPr/>
              <w:t xml:space="preserve"> </w:t>
            </w:r>
            <w:r w:rsidR="639C3EE3">
              <w:rPr/>
              <w:t>воєнного</w:t>
            </w:r>
            <w:r w:rsidR="639C3EE3">
              <w:rPr/>
              <w:t xml:space="preserve"> стану)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30E43E1B" w14:textId="77777777">
            <w:pPr>
              <w:pStyle w:val="anchor"/>
            </w:pPr>
            <w:hyperlink w:tgtFrame="_blank" w:history="1" w:anchor="ecfa7b16bc" r:id="rId28">
              <w:r>
                <w:rPr>
                  <w:rStyle w:val="a3"/>
                </w:rPr>
                <w:t>ч. 1 ст. 24 КЗпП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1FDBCE97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5AB4172C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451A04BE" w14:textId="7F7F1D96">
            <w:pPr>
              <w:pStyle w:val="anchor"/>
            </w:pPr>
            <w:r w:rsidR="639C3EE3">
              <w:rPr/>
              <w:t xml:space="preserve">Повідомлення про умови </w:t>
            </w:r>
            <w:r w:rsidR="639C3EE3">
              <w:rPr/>
              <w:t>трудового договору</w:t>
            </w:r>
            <w:r w:rsidR="639C3EE3">
              <w:rPr/>
              <w:t xml:space="preserve"> (</w:t>
            </w:r>
            <w:r w:rsidR="639C3EE3">
              <w:rPr/>
              <w:t>обов’язковий</w:t>
            </w:r>
            <w:r w:rsidR="639C3EE3">
              <w:rPr/>
              <w:t xml:space="preserve">, </w:t>
            </w:r>
            <w:r w:rsidR="639C3EE3">
              <w:rPr/>
              <w:t>крім</w:t>
            </w:r>
            <w:r w:rsidR="639C3EE3">
              <w:rPr/>
              <w:t xml:space="preserve"> </w:t>
            </w:r>
            <w:r w:rsidR="639C3EE3">
              <w:rPr/>
              <w:t>випадку</w:t>
            </w:r>
            <w:r w:rsidR="639C3EE3">
              <w:rPr/>
              <w:t xml:space="preserve"> — </w:t>
            </w:r>
            <w:r w:rsidR="639C3EE3">
              <w:rPr/>
              <w:t>всі</w:t>
            </w:r>
            <w:r w:rsidR="639C3EE3">
              <w:rPr/>
              <w:t xml:space="preserve"> </w:t>
            </w:r>
            <w:r w:rsidR="639C3EE3">
              <w:rPr/>
              <w:t>умови</w:t>
            </w:r>
            <w:r w:rsidR="639C3EE3">
              <w:rPr/>
              <w:t xml:space="preserve"> трудового договору </w:t>
            </w:r>
            <w:r w:rsidR="639C3EE3">
              <w:rPr/>
              <w:t>прописані</w:t>
            </w:r>
            <w:r w:rsidR="639C3EE3">
              <w:rPr/>
              <w:t xml:space="preserve"> у </w:t>
            </w:r>
            <w:r w:rsidR="639C3EE3">
              <w:rPr/>
              <w:t>письмовому</w:t>
            </w:r>
            <w:r w:rsidR="639C3EE3">
              <w:rPr/>
              <w:t xml:space="preserve"> трудовому </w:t>
            </w:r>
            <w:r w:rsidR="639C3EE3">
              <w:rPr/>
              <w:t>договорі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160BD558" w14:textId="77777777">
            <w:pPr>
              <w:pStyle w:val="anchor"/>
            </w:pPr>
            <w:hyperlink w:tgtFrame="_blank" w:history="1" w:anchor="c0cad4372f" r:id="rId30">
              <w:r>
                <w:rPr>
                  <w:rStyle w:val="a3"/>
                </w:rPr>
                <w:t xml:space="preserve">ч. 1 ст. 29 КЗпП 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44B8E852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78699AD7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154F6827" w14:textId="20AD0E55">
            <w:pPr>
              <w:pStyle w:val="anchor"/>
            </w:pPr>
            <w:r w:rsidR="639C3EE3">
              <w:rPr/>
              <w:t>Накази</w:t>
            </w:r>
            <w:r w:rsidR="639C3EE3">
              <w:rPr/>
              <w:t xml:space="preserve"> з </w:t>
            </w:r>
            <w:r w:rsidR="639C3EE3">
              <w:rPr/>
              <w:t>кадрових</w:t>
            </w:r>
            <w:r w:rsidR="639C3EE3">
              <w:rPr/>
              <w:t xml:space="preserve"> </w:t>
            </w:r>
            <w:r w:rsidR="639C3EE3">
              <w:rPr/>
              <w:t>питань</w:t>
            </w:r>
            <w:r w:rsidR="639C3EE3">
              <w:rPr/>
              <w:t xml:space="preserve"> </w:t>
            </w:r>
            <w:r w:rsidR="639C3EE3">
              <w:rPr/>
              <w:t>тривалог</w:t>
            </w:r>
            <w:r w:rsidR="639C3EE3">
              <w:rPr/>
              <w:t>о зберігання</w:t>
            </w:r>
            <w:r w:rsidR="639C3EE3">
              <w:rPr/>
              <w:t>*</w:t>
            </w:r>
          </w:p>
        </w:tc>
        <w:tc>
          <w:tcPr>
            <w:tcW w:w="2352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4EBED2B" w14:textId="77777777">
            <w:pPr>
              <w:pStyle w:val="anchor"/>
            </w:pPr>
            <w:hyperlink w:tgtFrame="_blank" w:history="1" r:id="rId32">
              <w:r>
                <w:rPr>
                  <w:rStyle w:val="a3"/>
                </w:rPr>
                <w:t>КЗпП</w:t>
              </w:r>
            </w:hyperlink>
            <w:r>
              <w:t>;</w:t>
            </w:r>
          </w:p>
          <w:p w:rsidR="00BD0B25" w:rsidRDefault="00837861" w14:paraId="427FF152" w14:textId="77777777">
            <w:pPr>
              <w:pStyle w:val="anchor"/>
            </w:pPr>
            <w:hyperlink w:tgtFrame="_blank" w:history="1" w:anchor="3d3923a975" r:id="rId33">
              <w:r>
                <w:rPr>
                  <w:rStyle w:val="a3"/>
                </w:rPr>
                <w:t>ст. 16 Переліку ти</w:t>
              </w:r>
              <w:r>
                <w:rPr>
                  <w:rStyle w:val="a3"/>
                </w:rPr>
                <w:t>пових документів, що створюються під час діяльності державних органів та органів місцевого самоврядування, інших установ, підприємств та організацій, із зазначенням строків зберігання документів</w:t>
              </w:r>
            </w:hyperlink>
            <w:r>
              <w:t>, затвердженого наказом Мін</w:t>
            </w:r>
            <w:r>
              <w:t>’юсту від 12.04.2012 № 578/5 (далі — Перелік № 578/5);</w:t>
            </w:r>
          </w:p>
          <w:p w:rsidR="00BD0B25" w:rsidRDefault="00837861" w14:paraId="2A2C6FC8" w14:textId="77777777">
            <w:pPr>
              <w:pStyle w:val="anchor"/>
            </w:pPr>
            <w:hyperlink w:tgtFrame="_blank" w:history="1" w:anchor="e1156f0f32" r:id="rId34">
              <w:r>
                <w:rPr>
                  <w:rStyle w:val="a3"/>
                </w:rPr>
                <w:t>п. 6 гл 2 розд. IV Правил № 1000/5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220A1370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41FAE8F3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7E6CA724" w14:textId="4A6419B8">
            <w:pPr>
              <w:pStyle w:val="anchor"/>
            </w:pPr>
            <w:r w:rsidR="639C3EE3">
              <w:rPr/>
              <w:t>Накази</w:t>
            </w:r>
            <w:r w:rsidR="639C3EE3">
              <w:rPr/>
              <w:t xml:space="preserve"> з </w:t>
            </w:r>
            <w:r w:rsidR="639C3EE3">
              <w:rPr/>
              <w:t>кадрових</w:t>
            </w:r>
            <w:r w:rsidR="639C3EE3">
              <w:rPr/>
              <w:t xml:space="preserve"> </w:t>
            </w:r>
            <w:r w:rsidR="639C3EE3">
              <w:rPr/>
              <w:t>питань</w:t>
            </w:r>
            <w:r w:rsidR="639C3EE3">
              <w:rPr/>
              <w:t xml:space="preserve"> </w:t>
            </w:r>
            <w:r w:rsidR="639C3EE3">
              <w:rPr/>
              <w:t>тимчасового зберігання</w:t>
            </w:r>
            <w:r w:rsidR="639C3EE3">
              <w:rPr/>
              <w:t>*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BD0B25" w:rsidRDefault="00BD0B25" w14:paraId="672A6659" w14:textId="77777777"/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71DCBD30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3F698AA0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755F64D9" w14:textId="36B25609">
            <w:pPr>
              <w:pStyle w:val="anchor"/>
            </w:pPr>
            <w:r w:rsidR="639C3EE3">
              <w:rPr/>
              <w:t>Особові картки П-2</w:t>
            </w:r>
            <w:r w:rsidR="639C3EE3">
              <w:rPr/>
              <w:t>*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5FD4FEFF" w14:textId="77777777">
            <w:pPr>
              <w:pStyle w:val="anchor"/>
            </w:pPr>
            <w:hyperlink w:tgtFrame="_blank" w:history="1" w:anchor="af225adf80" r:id="rId37">
              <w:r>
                <w:rPr>
                  <w:rStyle w:val="a3"/>
                </w:rPr>
                <w:t xml:space="preserve">п. 2.5 Інструкції про порядок ведення трудових книжок </w:t>
              </w:r>
              <w:r>
                <w:rPr>
                  <w:rStyle w:val="a3"/>
                </w:rPr>
                <w:t>працівників</w:t>
              </w:r>
            </w:hyperlink>
            <w:r>
              <w:t>, затвердженої наказом Мінсоцполітики, Мін’юсту від 29.07.1993 № 58 (далі — Інструкція № 58)</w:t>
            </w:r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24BB8458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0C208D98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4981089E" w14:textId="395031D0">
            <w:pPr>
              <w:pStyle w:val="anchor"/>
            </w:pPr>
            <w:r w:rsidR="639C3EE3">
              <w:rPr/>
              <w:t>Особові справи</w:t>
            </w:r>
            <w:r w:rsidR="639C3EE3">
              <w:rPr/>
              <w:t> (</w:t>
            </w:r>
            <w:r w:rsidR="639C3EE3">
              <w:rPr/>
              <w:t>обов’язковий</w:t>
            </w:r>
            <w:r w:rsidR="639C3EE3">
              <w:rPr/>
              <w:t xml:space="preserve"> для </w:t>
            </w:r>
            <w:r w:rsidR="639C3EE3">
              <w:rPr/>
              <w:t>керівників</w:t>
            </w:r>
            <w:r w:rsidR="639C3EE3">
              <w:rPr/>
              <w:t xml:space="preserve">, </w:t>
            </w:r>
            <w:r w:rsidR="639C3EE3">
              <w:rPr/>
              <w:t>професіоналів</w:t>
            </w:r>
            <w:r w:rsidR="639C3EE3">
              <w:rPr/>
              <w:t xml:space="preserve">, </w:t>
            </w:r>
            <w:r w:rsidR="639C3EE3">
              <w:rPr/>
              <w:t>фахівців</w:t>
            </w:r>
            <w:r w:rsidR="639C3EE3">
              <w:rPr/>
              <w:t xml:space="preserve">, </w:t>
            </w:r>
            <w:r w:rsidR="639C3EE3">
              <w:rPr/>
              <w:t>технічних</w:t>
            </w:r>
            <w:r w:rsidR="639C3EE3">
              <w:rPr/>
              <w:t xml:space="preserve"> </w:t>
            </w:r>
            <w:r w:rsidR="639C3EE3">
              <w:rPr/>
              <w:t>службовців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1D2C0BE5" w14:textId="77777777">
            <w:pPr>
              <w:pStyle w:val="anchor"/>
            </w:pPr>
            <w:hyperlink w:tgtFrame="_blank" w:history="1" w:anchor="e222b1e4ea" r:id="rId39">
              <w:r>
                <w:rPr>
                  <w:rStyle w:val="a3"/>
                </w:rPr>
                <w:t>ст. 493</w:t>
              </w:r>
            </w:hyperlink>
            <w:r>
              <w:t xml:space="preserve">, </w:t>
            </w:r>
            <w:hyperlink w:tgtFrame="_blank" w:history="1" w:anchor="3430f2a1d5" r:id="rId40">
              <w:r>
                <w:rPr>
                  <w:rStyle w:val="a3"/>
                </w:rPr>
                <w:t>495 Переліку № 578/5</w:t>
              </w:r>
            </w:hyperlink>
            <w:r>
              <w:t>;</w:t>
            </w:r>
          </w:p>
          <w:p w:rsidR="00BD0B25" w:rsidRDefault="00837861" w14:paraId="6180C3DD" w14:textId="77777777">
            <w:pPr>
              <w:pStyle w:val="anchor"/>
            </w:pPr>
            <w:hyperlink w:tgtFrame="_blank" w:history="1" w:anchor="bf9037ff7e" r:id="rId41">
              <w:r>
                <w:rPr>
                  <w:rStyle w:val="a3"/>
                </w:rPr>
                <w:t>п. 12 гл. 2 розд. IV Правил № 1000/5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4B24D182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36BCFA94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0458624D" w14:textId="1AA77D7F">
            <w:pPr>
              <w:pStyle w:val="anchor"/>
            </w:pPr>
            <w:r w:rsidR="639C3EE3">
              <w:rPr/>
              <w:t>Трудові</w:t>
            </w:r>
            <w:r w:rsidR="639C3EE3">
              <w:rPr/>
              <w:t xml:space="preserve"> книжки</w:t>
            </w:r>
            <w:r w:rsidR="639C3EE3">
              <w:rPr/>
              <w:t> (</w:t>
            </w:r>
            <w:r w:rsidR="639C3EE3">
              <w:rPr/>
              <w:t>обов’язковий</w:t>
            </w:r>
            <w:r w:rsidR="639C3EE3">
              <w:rPr/>
              <w:t xml:space="preserve"> </w:t>
            </w:r>
            <w:r w:rsidR="639C3EE3">
              <w:rPr/>
              <w:t xml:space="preserve">для </w:t>
            </w:r>
            <w:r w:rsidR="639C3EE3">
              <w:rPr/>
              <w:t>працівників</w:t>
            </w:r>
            <w:r w:rsidR="639C3EE3">
              <w:rPr/>
              <w:t xml:space="preserve">, </w:t>
            </w:r>
            <w:r w:rsidR="639C3EE3">
              <w:rPr/>
              <w:t>прийнятих за основним місцем роботи до 10.06.2021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2076508A" w14:textId="77777777">
            <w:pPr>
              <w:pStyle w:val="anchor"/>
            </w:pPr>
            <w:hyperlink w:tgtFrame="_blank" w:history="1" w:anchor="1d3a94042f" r:id="rId44">
              <w:r>
                <w:rPr>
                  <w:rStyle w:val="a3"/>
                </w:rPr>
                <w:t>ч. 2 ст. 48 КЗпП</w:t>
              </w:r>
            </w:hyperlink>
            <w:r>
              <w:t>;</w:t>
            </w:r>
          </w:p>
          <w:p w:rsidR="00BD0B25" w:rsidRDefault="00837861" w14:paraId="2FC373EC" w14:textId="77777777">
            <w:pPr>
              <w:pStyle w:val="anchor"/>
            </w:pPr>
            <w:hyperlink w:tgtFrame="_blank" w:history="1" w:anchor="5d8da1de89" r:id="rId45">
              <w:r>
                <w:rPr>
                  <w:rStyle w:val="a3"/>
                </w:rPr>
                <w:t>абз. 2 п. 1.1 гл. 1 Інструкції № 58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2E4EDC34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371F5BF9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36BF2CF9" w14:textId="455897A1">
            <w:pPr>
              <w:pStyle w:val="anchor"/>
            </w:pPr>
            <w:r w:rsidR="639C3EE3">
              <w:rPr/>
              <w:t>Журнал реєстрації наказів із кадрових питань тривалого зберігання</w:t>
            </w:r>
            <w:r w:rsidR="639C3EE3">
              <w:rPr/>
              <w:t>*</w:t>
            </w:r>
          </w:p>
        </w:tc>
        <w:tc>
          <w:tcPr>
            <w:tcW w:w="2352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095F4DB6" w14:textId="77777777">
            <w:pPr>
              <w:pStyle w:val="anchor"/>
            </w:pPr>
            <w:hyperlink w:tgtFrame="_blank" w:history="1" w:anchor="ad6bec9621" r:id="rId47">
              <w:r>
                <w:rPr>
                  <w:rStyle w:val="a3"/>
                </w:rPr>
                <w:t xml:space="preserve">гл. 3 розд. ІІІ Правил № </w:t>
              </w:r>
              <w:r>
                <w:rPr>
                  <w:rStyle w:val="a3"/>
                </w:rPr>
                <w:t>1000/5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55A10E9C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7DD9E13D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50E1A98" w14:textId="1A82018F">
            <w:pPr>
              <w:pStyle w:val="anchor"/>
            </w:pPr>
            <w:r w:rsidR="639C3EE3">
              <w:rPr/>
              <w:t>Журнал реєстрації наказів із кадрових питань тимчасового зберігання</w:t>
            </w:r>
            <w:r w:rsidR="639C3EE3">
              <w:rPr/>
              <w:t>*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BD0B25" w:rsidRDefault="00BD0B25" w14:paraId="0A37501D" w14:textId="77777777"/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404C3AC8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18A87C0F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0036A815" w14:textId="592A6F99">
            <w:pPr>
              <w:pStyle w:val="anchor"/>
            </w:pPr>
            <w:r w:rsidR="639C3EE3">
              <w:rPr/>
              <w:t xml:space="preserve">Журнал </w:t>
            </w:r>
            <w:r w:rsidR="639C3EE3">
              <w:rPr/>
              <w:t>обліку</w:t>
            </w:r>
            <w:r w:rsidR="639C3EE3">
              <w:rPr/>
              <w:t xml:space="preserve"> </w:t>
            </w:r>
            <w:r w:rsidR="639C3EE3">
              <w:rPr/>
              <w:t>особових</w:t>
            </w:r>
            <w:r w:rsidR="639C3EE3">
              <w:rPr/>
              <w:t xml:space="preserve"> </w:t>
            </w:r>
            <w:r w:rsidR="639C3EE3">
              <w:rPr/>
              <w:t>карток</w:t>
            </w:r>
            <w:r w:rsidR="639C3EE3">
              <w:rPr/>
              <w:t xml:space="preserve"> </w:t>
            </w:r>
            <w:r w:rsidR="639C3EE3">
              <w:rPr/>
              <w:t>або</w:t>
            </w:r>
            <w:r w:rsidR="639C3EE3">
              <w:rPr/>
              <w:t xml:space="preserve"> </w:t>
            </w:r>
            <w:r w:rsidR="639C3EE3">
              <w:rPr/>
              <w:t>Журнал прийняття працівників</w:t>
            </w:r>
            <w:r w:rsidR="639C3EE3">
              <w:rPr/>
              <w:t>*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5F2430AF" w14:textId="77777777">
            <w:pPr>
              <w:pStyle w:val="anchor"/>
            </w:pPr>
            <w:hyperlink w:tgtFrame="_blank" w:history="1" w:anchor="8ed7b42530" r:id="rId50">
              <w:r>
                <w:rPr>
                  <w:rStyle w:val="a3"/>
                </w:rPr>
                <w:t>ст. 529 Переліку № 578/5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571C14C8" w14:textId="77777777">
            <w:pPr>
              <w:jc w:val="center"/>
              <w:rPr>
                <w:b/>
                <w:bCs/>
              </w:rPr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6FA0D5CC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4F5E9FF" w14:textId="6381650B">
            <w:pPr>
              <w:pStyle w:val="anchor"/>
            </w:pPr>
            <w:r w:rsidR="639C3EE3">
              <w:rPr/>
              <w:t>Журнал обліку особових справ</w:t>
            </w:r>
            <w:r w:rsidR="639C3EE3">
              <w:rPr/>
              <w:t>*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47ED1B3F" w14:textId="77777777">
            <w:pPr>
              <w:pStyle w:val="anchor"/>
            </w:pPr>
            <w:r>
              <w:t>опосередкована норма, обумовлена потребою обліку і правилами складання номенклатур справ</w:t>
            </w:r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5559D051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749E607C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6F0D3E4" w14:textId="6CF57223">
            <w:pPr>
              <w:pStyle w:val="anchor"/>
            </w:pPr>
            <w:r w:rsidR="639C3EE3">
              <w:rPr/>
              <w:t>Книга обліку руху трудових книжок та вкладишів до них</w:t>
            </w:r>
            <w:r w:rsidR="639C3EE3">
              <w:rPr/>
              <w:t>*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3CEE625A" w14:textId="77777777">
            <w:pPr>
              <w:pStyle w:val="anchor"/>
            </w:pPr>
            <w:hyperlink w:tgtFrame="_blank" w:history="1" w:anchor="822c20017b" r:id="rId53">
              <w:r>
                <w:rPr>
                  <w:rStyle w:val="a3"/>
                </w:rPr>
                <w:t>п. 7.1 Інструкції № 58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36FE4466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25231CCE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1B4ADAB" w14:textId="32AD195A">
            <w:pPr>
              <w:pStyle w:val="anchor"/>
            </w:pPr>
            <w:r w:rsidR="639C3EE3">
              <w:rPr/>
              <w:t>Журнал реєстрації зобов’язань про нерозголошення персональних даних</w:t>
            </w:r>
            <w:r w:rsidR="639C3EE3">
              <w:rPr/>
              <w:t>*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0F8535E2" w14:textId="77777777">
            <w:pPr>
              <w:pStyle w:val="anchor"/>
            </w:pPr>
            <w:hyperlink w:tgtFrame="_blank" w:history="1" w:anchor="0cfa57b0bf" r:id="rId55">
              <w:r>
                <w:rPr>
                  <w:rStyle w:val="a3"/>
                </w:rPr>
                <w:t>Типовий порядок обробки персональних даних</w:t>
              </w:r>
            </w:hyperlink>
            <w:r>
              <w:t>, затверджений наказом Уповноваженого ВРУ з прав людини від 08.01.2014 № 1-02/14</w:t>
            </w:r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4FFF0FE5" w14:textId="77777777">
            <w:pPr>
              <w:jc w:val="center"/>
              <w:rPr>
                <w:b/>
                <w:bCs/>
              </w:rPr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1C0EB01F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1449702A" w14:textId="2013C227">
            <w:pPr>
              <w:pStyle w:val="anchor"/>
            </w:pPr>
            <w:r w:rsidR="639C3EE3">
              <w:rPr/>
              <w:t xml:space="preserve">Журнал обліку працівників, які </w:t>
            </w:r>
            <w:r w:rsidR="639C3EE3">
              <w:rPr/>
              <w:t>не досягли 18 років</w:t>
            </w:r>
            <w:r w:rsidR="639C3EE3">
              <w:rPr/>
              <w:t> (</w:t>
            </w:r>
            <w:r w:rsidR="639C3EE3">
              <w:rPr/>
              <w:t>обов’язковий</w:t>
            </w:r>
            <w:r w:rsidR="639C3EE3">
              <w:rPr/>
              <w:t xml:space="preserve">, </w:t>
            </w:r>
            <w:r w:rsidR="639C3EE3">
              <w:rPr/>
              <w:t>якщо</w:t>
            </w:r>
            <w:r w:rsidR="639C3EE3">
              <w:rPr/>
              <w:t xml:space="preserve"> є </w:t>
            </w:r>
            <w:r w:rsidR="639C3EE3">
              <w:rPr/>
              <w:t>працівники</w:t>
            </w:r>
            <w:r w:rsidR="639C3EE3">
              <w:rPr/>
              <w:t xml:space="preserve"> </w:t>
            </w:r>
            <w:r w:rsidR="639C3EE3">
              <w:rPr/>
              <w:t>віком</w:t>
            </w:r>
            <w:r w:rsidR="639C3EE3">
              <w:rPr/>
              <w:t xml:space="preserve"> до 18 </w:t>
            </w:r>
            <w:r w:rsidR="639C3EE3">
              <w:rPr/>
              <w:t>років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5698EF76" w14:textId="77777777">
            <w:pPr>
              <w:pStyle w:val="anchor"/>
            </w:pPr>
            <w:hyperlink w:tgtFrame="_blank" w:history="1" w:anchor="6e900efa57" r:id="rId57">
              <w:r>
                <w:rPr>
                  <w:rStyle w:val="a3"/>
                </w:rPr>
                <w:t>ст. 189 КЗпП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4C39FFF0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4582710F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02F05D83" w14:textId="6105C5EB">
            <w:pPr>
              <w:pStyle w:val="anchor"/>
            </w:pPr>
            <w:r w:rsidR="639C3EE3">
              <w:rPr/>
              <w:t>Журнал реєстрації трудових договорів</w:t>
            </w:r>
            <w:r w:rsidR="639C3EE3">
              <w:rPr/>
              <w:t>*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76B6ACFD" w14:textId="77777777">
            <w:pPr>
              <w:pStyle w:val="anchor"/>
            </w:pPr>
            <w:r>
              <w:t xml:space="preserve">для обліку трудових договорів, опосередкована норма, випливає зі </w:t>
            </w:r>
            <w:hyperlink w:tgtFrame="_blank" w:history="1" w:anchor="5a16734541" r:id="rId59">
              <w:r>
                <w:rPr>
                  <w:rStyle w:val="a3"/>
                </w:rPr>
                <w:t>ст. 24 КЗпП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4E20C656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79285316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29407983" w14:textId="0F745DDD">
            <w:pPr>
              <w:pStyle w:val="anchor"/>
            </w:pPr>
            <w:r w:rsidR="639C3EE3">
              <w:rPr/>
              <w:t>Табелі обліку використання робочого часу</w:t>
            </w:r>
            <w:r w:rsidR="639C3EE3">
              <w:rPr/>
              <w:t>*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E245E98" w14:textId="77777777">
            <w:pPr>
              <w:pStyle w:val="anchor"/>
            </w:pPr>
            <w:hyperlink w:tgtFrame="_blank" w:history="1" w:anchor="c1146ff36a" r:id="rId61">
              <w:r>
                <w:rPr>
                  <w:rStyle w:val="a3"/>
                </w:rPr>
                <w:t>ч. 2 ст. 30 Закону України «Про оплату праці» від 24.03.1995 № 108/95-ВР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5AE82778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41367D66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DE4798B" w14:textId="254E30F3">
            <w:pPr>
              <w:pStyle w:val="anchor"/>
            </w:pPr>
            <w:r w:rsidR="639C3EE3">
              <w:rPr/>
              <w:t>Доку</w:t>
            </w:r>
            <w:r w:rsidR="639C3EE3">
              <w:rPr/>
              <w:t>менти</w:t>
            </w:r>
            <w:r w:rsidR="639C3EE3">
              <w:rPr/>
              <w:t xml:space="preserve"> з </w:t>
            </w:r>
            <w:r w:rsidR="639C3EE3">
              <w:rPr/>
              <w:t>питань</w:t>
            </w:r>
            <w:r w:rsidR="639C3EE3">
              <w:rPr/>
              <w:t xml:space="preserve"> </w:t>
            </w:r>
            <w:r w:rsidR="639C3EE3">
              <w:rPr/>
              <w:t>військового</w:t>
            </w:r>
            <w:r w:rsidR="639C3EE3">
              <w:rPr/>
              <w:t xml:space="preserve"> </w:t>
            </w:r>
            <w:r w:rsidR="639C3EE3">
              <w:rPr/>
              <w:t>обліку</w:t>
            </w:r>
            <w:r w:rsidR="639C3EE3">
              <w:rPr/>
              <w:t xml:space="preserve"> та </w:t>
            </w:r>
            <w:r w:rsidR="639C3EE3">
              <w:rPr/>
              <w:t>бронювання</w:t>
            </w:r>
            <w:r w:rsidR="639C3EE3">
              <w:rPr/>
              <w:t xml:space="preserve"> (</w:t>
            </w:r>
            <w:r w:rsidR="639C3EE3">
              <w:rPr/>
              <w:t>якщо</w:t>
            </w:r>
            <w:r w:rsidR="639C3EE3">
              <w:rPr/>
              <w:t xml:space="preserve"> </w:t>
            </w:r>
            <w:r w:rsidR="639C3EE3">
              <w:rPr/>
              <w:t>відсутній</w:t>
            </w:r>
            <w:r w:rsidR="639C3EE3">
              <w:rPr/>
              <w:t xml:space="preserve"> </w:t>
            </w:r>
            <w:r w:rsidR="639C3EE3">
              <w:rPr/>
              <w:t>окремий</w:t>
            </w:r>
            <w:r w:rsidR="639C3EE3">
              <w:rPr/>
              <w:t xml:space="preserve"> </w:t>
            </w:r>
            <w:r w:rsidR="639C3EE3">
              <w:rPr/>
              <w:t>підрозділ</w:t>
            </w:r>
            <w:r w:rsidR="639C3EE3">
              <w:rPr/>
              <w:t>)*:</w:t>
            </w:r>
          </w:p>
          <w:p w:rsidR="00BD0B25" w:rsidRDefault="00837861" w14:paraId="50E1CA9B" w14:textId="47E5D406">
            <w:pPr>
              <w:pStyle w:val="listitem"/>
              <w:numPr>
                <w:ilvl w:val="0"/>
                <w:numId w:val="2"/>
              </w:numPr>
              <w:rPr>
                <w:rFonts w:eastAsia="Times New Roman"/>
              </w:rPr>
            </w:pPr>
            <w:r w:rsidRPr="639C3EE3" w:rsidR="639C3EE3">
              <w:rPr>
                <w:rFonts w:eastAsia="Times New Roman"/>
              </w:rPr>
              <w:t>наказ про призначення відповідальних осіб за ведення військового обліку</w:t>
            </w:r>
            <w:r w:rsidRPr="639C3EE3" w:rsidR="639C3EE3">
              <w:rPr>
                <w:rFonts w:eastAsia="Times New Roman"/>
              </w:rPr>
              <w:t>;</w:t>
            </w:r>
          </w:p>
          <w:p w:rsidR="00BD0B25" w:rsidRDefault="00837861" w14:paraId="07534BD1" w14:textId="2939CD31">
            <w:pPr>
              <w:pStyle w:val="listitem"/>
              <w:numPr>
                <w:ilvl w:val="0"/>
                <w:numId w:val="2"/>
              </w:numPr>
              <w:rPr>
                <w:rFonts w:eastAsia="Times New Roman"/>
              </w:rPr>
            </w:pPr>
            <w:r w:rsidRPr="639C3EE3" w:rsidR="639C3EE3">
              <w:rPr>
                <w:rFonts w:eastAsia="Times New Roman"/>
              </w:rPr>
              <w:t>списки персонального військового обліку</w:t>
            </w:r>
            <w:r w:rsidRPr="639C3EE3" w:rsidR="639C3EE3">
              <w:rPr>
                <w:rFonts w:eastAsia="Times New Roman"/>
              </w:rPr>
              <w:t xml:space="preserve">, </w:t>
            </w:r>
            <w:r w:rsidRPr="639C3EE3" w:rsidR="639C3EE3">
              <w:rPr>
                <w:rFonts w:eastAsia="Times New Roman"/>
              </w:rPr>
              <w:t>відомість</w:t>
            </w:r>
            <w:r w:rsidRPr="639C3EE3" w:rsidR="639C3EE3">
              <w:rPr>
                <w:rFonts w:eastAsia="Times New Roman"/>
              </w:rPr>
              <w:t xml:space="preserve"> оперативного </w:t>
            </w:r>
            <w:r w:rsidRPr="639C3EE3" w:rsidR="639C3EE3">
              <w:rPr>
                <w:rFonts w:eastAsia="Times New Roman"/>
              </w:rPr>
              <w:t>обліку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призовників</w:t>
            </w:r>
            <w:r w:rsidRPr="639C3EE3" w:rsidR="639C3EE3">
              <w:rPr>
                <w:rFonts w:eastAsia="Times New Roman"/>
              </w:rPr>
              <w:t xml:space="preserve">, </w:t>
            </w:r>
            <w:r w:rsidRPr="639C3EE3" w:rsidR="639C3EE3">
              <w:rPr>
                <w:rFonts w:eastAsia="Times New Roman"/>
              </w:rPr>
              <w:t>військовозобов’язаних</w:t>
            </w:r>
            <w:r w:rsidRPr="639C3EE3" w:rsidR="639C3EE3">
              <w:rPr>
                <w:rFonts w:eastAsia="Times New Roman"/>
              </w:rPr>
              <w:t xml:space="preserve"> та </w:t>
            </w:r>
            <w:r w:rsidRPr="639C3EE3" w:rsidR="639C3EE3">
              <w:rPr>
                <w:rFonts w:eastAsia="Times New Roman"/>
              </w:rPr>
              <w:t>резервістів</w:t>
            </w:r>
            <w:r w:rsidRPr="639C3EE3" w:rsidR="639C3EE3">
              <w:rPr>
                <w:rFonts w:eastAsia="Times New Roman"/>
              </w:rPr>
              <w:t>;</w:t>
            </w:r>
          </w:p>
          <w:p w:rsidR="00BD0B25" w:rsidRDefault="00837861" w14:paraId="10ED4C59" w14:textId="4E6E9868">
            <w:pPr>
              <w:pStyle w:val="listitem"/>
              <w:numPr>
                <w:ilvl w:val="0"/>
                <w:numId w:val="2"/>
              </w:numPr>
              <w:rPr>
                <w:rFonts w:eastAsia="Times New Roman"/>
              </w:rPr>
            </w:pPr>
            <w:r w:rsidRPr="639C3EE3" w:rsidR="639C3EE3">
              <w:rPr>
                <w:rFonts w:eastAsia="Times New Roman"/>
              </w:rPr>
              <w:t>графіки звіряння</w:t>
            </w:r>
            <w:r w:rsidRPr="639C3EE3" w:rsidR="639C3EE3">
              <w:rPr>
                <w:rFonts w:eastAsia="Times New Roman"/>
              </w:rPr>
              <w:t>;</w:t>
            </w:r>
          </w:p>
          <w:p w:rsidR="00BD0B25" w:rsidRDefault="00837861" w14:paraId="29FCD819" w14:textId="2F0DE9F3">
            <w:pPr>
              <w:pStyle w:val="listitem"/>
              <w:numPr>
                <w:ilvl w:val="0"/>
                <w:numId w:val="2"/>
              </w:numPr>
              <w:rPr>
                <w:rFonts w:eastAsia="Times New Roman"/>
              </w:rPr>
            </w:pPr>
            <w:r w:rsidRPr="639C3EE3" w:rsidR="639C3EE3">
              <w:rPr>
                <w:rFonts w:eastAsia="Times New Roman"/>
              </w:rPr>
              <w:t xml:space="preserve">журнал </w:t>
            </w:r>
            <w:r w:rsidRPr="639C3EE3" w:rsidR="639C3EE3">
              <w:rPr>
                <w:rFonts w:eastAsia="Times New Roman"/>
              </w:rPr>
              <w:t>обліку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результатів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перевірки стану військового обліку</w:t>
            </w:r>
            <w:r w:rsidRPr="639C3EE3" w:rsidR="639C3EE3">
              <w:rPr>
                <w:rFonts w:eastAsia="Times New Roman"/>
              </w:rPr>
              <w:t xml:space="preserve">, </w:t>
            </w:r>
            <w:r w:rsidRPr="639C3EE3" w:rsidR="639C3EE3">
              <w:rPr>
                <w:rFonts w:eastAsia="Times New Roman"/>
              </w:rPr>
              <w:t>звіряння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їх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облікових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даних</w:t>
            </w:r>
            <w:r w:rsidRPr="639C3EE3" w:rsidR="639C3EE3">
              <w:rPr>
                <w:rFonts w:eastAsia="Times New Roman"/>
              </w:rPr>
              <w:t xml:space="preserve"> з даними </w:t>
            </w:r>
            <w:r w:rsidRPr="639C3EE3" w:rsidR="639C3EE3">
              <w:rPr>
                <w:rFonts w:eastAsia="Times New Roman"/>
              </w:rPr>
              <w:t>районних</w:t>
            </w:r>
            <w:r w:rsidRPr="639C3EE3" w:rsidR="639C3EE3">
              <w:rPr>
                <w:rFonts w:eastAsia="Times New Roman"/>
              </w:rPr>
              <w:t xml:space="preserve"> (</w:t>
            </w:r>
            <w:r w:rsidRPr="639C3EE3" w:rsidR="639C3EE3">
              <w:rPr>
                <w:rFonts w:eastAsia="Times New Roman"/>
              </w:rPr>
              <w:t>міських</w:t>
            </w:r>
            <w:r w:rsidRPr="639C3EE3" w:rsidR="639C3EE3">
              <w:rPr>
                <w:rFonts w:eastAsia="Times New Roman"/>
              </w:rPr>
              <w:t xml:space="preserve">) </w:t>
            </w:r>
            <w:r w:rsidRPr="639C3EE3" w:rsidR="639C3EE3">
              <w:rPr>
                <w:rFonts w:eastAsia="Times New Roman"/>
              </w:rPr>
              <w:t>територіальних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центрів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комплектування</w:t>
            </w:r>
            <w:r w:rsidRPr="639C3EE3" w:rsidR="639C3EE3">
              <w:rPr>
                <w:rFonts w:eastAsia="Times New Roman"/>
              </w:rPr>
              <w:t xml:space="preserve"> та </w:t>
            </w:r>
            <w:r w:rsidRPr="639C3EE3" w:rsidR="639C3EE3">
              <w:rPr>
                <w:rFonts w:eastAsia="Times New Roman"/>
              </w:rPr>
              <w:t>соці</w:t>
            </w:r>
            <w:r w:rsidRPr="639C3EE3" w:rsidR="639C3EE3">
              <w:rPr>
                <w:rFonts w:eastAsia="Times New Roman"/>
              </w:rPr>
              <w:t>альної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підтримки</w:t>
            </w:r>
            <w:r w:rsidRPr="639C3EE3" w:rsidR="639C3EE3">
              <w:rPr>
                <w:rFonts w:eastAsia="Times New Roman"/>
              </w:rPr>
              <w:t xml:space="preserve"> (</w:t>
            </w:r>
            <w:r w:rsidRPr="639C3EE3" w:rsidR="639C3EE3">
              <w:rPr>
                <w:rFonts w:eastAsia="Times New Roman"/>
              </w:rPr>
              <w:t>органів</w:t>
            </w:r>
            <w:r w:rsidRPr="639C3EE3" w:rsidR="639C3EE3">
              <w:rPr>
                <w:rFonts w:eastAsia="Times New Roman"/>
              </w:rPr>
              <w:t xml:space="preserve"> СБУ, </w:t>
            </w:r>
            <w:r w:rsidRPr="639C3EE3" w:rsidR="639C3EE3">
              <w:rPr>
                <w:rFonts w:eastAsia="Times New Roman"/>
              </w:rPr>
              <w:t>підрозділів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Служби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зовнішньої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розвідки</w:t>
            </w:r>
            <w:r w:rsidRPr="639C3EE3" w:rsidR="639C3EE3">
              <w:rPr>
                <w:rFonts w:eastAsia="Times New Roman"/>
              </w:rPr>
              <w:t>)</w:t>
            </w:r>
            <w:r w:rsidRPr="639C3EE3" w:rsidR="639C3EE3">
              <w:rPr>
                <w:rFonts w:eastAsia="Times New Roman"/>
              </w:rPr>
              <w:t xml:space="preserve"> </w:t>
            </w:r>
            <w:r w:rsidRPr="639C3EE3" w:rsidR="639C3EE3">
              <w:rPr>
                <w:rFonts w:eastAsia="Times New Roman"/>
              </w:rPr>
              <w:t>тощо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409E2D12" w14:textId="77777777">
            <w:pPr>
              <w:pStyle w:val="anchor"/>
            </w:pPr>
            <w:hyperlink w:tgtFrame="_blank" w:history="1" w:anchor="dfe5c23203" r:id="rId70">
              <w:r>
                <w:rPr>
                  <w:rStyle w:val="a3"/>
                </w:rPr>
                <w:t>Додаток 31 до Порядку організації та ведення військового обліку призовників, військовозобов’язаних та резервістів</w:t>
              </w:r>
            </w:hyperlink>
            <w:r>
              <w:t xml:space="preserve">, затвердженого постановою КМУ </w:t>
            </w:r>
            <w:r>
              <w:t>від 30.12.2022 № 1487</w:t>
            </w:r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760286AB" w14:textId="77777777">
            <w:pPr>
              <w:jc w:val="center"/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79B138FF" w14:textId="77777777">
        <w:trPr>
          <w:trHeight w:val="20"/>
        </w:trPr>
        <w:tc>
          <w:tcPr>
            <w:tcW w:w="4549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24A0D60A" w14:textId="77777777">
            <w:pPr>
              <w:pStyle w:val="anchor"/>
              <w:jc w:val="center"/>
            </w:pPr>
            <w:r>
              <w:rPr>
                <w:rStyle w:val="a6"/>
              </w:rPr>
              <w:t>Звіти</w:t>
            </w:r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0B25" w:rsidRDefault="00BD0B25" w14:paraId="5DAB6C7B" w14:textId="77777777">
            <w:pPr>
              <w:pStyle w:val="anchor"/>
              <w:jc w:val="center"/>
              <w:rPr>
                <w:rStyle w:val="a6"/>
              </w:rPr>
            </w:pPr>
          </w:p>
        </w:tc>
      </w:tr>
      <w:tr w:rsidR="00BD0B25" w:rsidTr="37C4CD05" w14:paraId="7D0DE254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7146CB58" w14:textId="6A135ACA">
            <w:pPr>
              <w:pStyle w:val="anchor"/>
            </w:pPr>
            <w:r w:rsidR="639C3EE3">
              <w:rPr/>
              <w:t>Звіти про наявність вакансій</w:t>
            </w:r>
            <w:r w:rsidR="639C3EE3">
              <w:rPr/>
              <w:t xml:space="preserve"> (</w:t>
            </w:r>
            <w:r w:rsidR="639C3EE3">
              <w:rPr/>
              <w:t>обов’язкові</w:t>
            </w:r>
            <w:r w:rsidR="639C3EE3">
              <w:rPr/>
              <w:t xml:space="preserve">, </w:t>
            </w:r>
            <w:r w:rsidR="639C3EE3">
              <w:rPr/>
              <w:t>якщо</w:t>
            </w:r>
            <w:r w:rsidR="639C3EE3">
              <w:rPr/>
              <w:t xml:space="preserve"> є </w:t>
            </w:r>
            <w:r w:rsidR="639C3EE3">
              <w:rPr/>
              <w:t>вакансії</w:t>
            </w:r>
            <w:r w:rsidR="639C3EE3">
              <w:rPr/>
              <w:t>)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73BB2884" w14:textId="77777777">
            <w:pPr>
              <w:pStyle w:val="anchor"/>
            </w:pPr>
            <w:hyperlink w:tgtFrame="_blank" w:history="1" r:id="rId72">
              <w:r>
                <w:rPr>
                  <w:rStyle w:val="a3"/>
                </w:rPr>
                <w:t xml:space="preserve">наказ Мінсоцполітики «Про затвердження форми звітності № 3-ПН «Інформація про попит на робочу силу </w:t>
              </w:r>
              <w:r>
                <w:rPr>
                  <w:rStyle w:val="a3"/>
                </w:rPr>
                <w:t>(вакансії)» та Порядку її подання» від 12.04.2022 № 827-22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14699CCB" w14:textId="777777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□</w:t>
            </w:r>
          </w:p>
        </w:tc>
      </w:tr>
      <w:tr w:rsidR="00BD0B25" w:rsidTr="37C4CD05" w14:paraId="17DBC552" w14:textId="77777777">
        <w:trPr>
          <w:trHeight w:val="20"/>
        </w:trPr>
        <w:tc>
          <w:tcPr>
            <w:tcW w:w="21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38B0D1F0" w14:textId="3B3C78E9">
            <w:pPr>
              <w:pStyle w:val="anchor"/>
            </w:pPr>
            <w:r w:rsidR="639C3EE3">
              <w:rPr/>
              <w:t>Звіти про заплановане масове вивільнення працівників</w:t>
            </w:r>
            <w:r w:rsidR="639C3EE3">
              <w:rPr/>
              <w:t> (</w:t>
            </w:r>
            <w:r w:rsidR="639C3EE3">
              <w:rPr/>
              <w:t>обов’</w:t>
            </w:r>
            <w:r w:rsidR="639C3EE3">
              <w:rPr/>
              <w:t>язкові</w:t>
            </w:r>
            <w:r w:rsidR="639C3EE3">
              <w:rPr/>
              <w:t xml:space="preserve"> у </w:t>
            </w:r>
            <w:r w:rsidR="639C3EE3">
              <w:rPr/>
              <w:t>разі</w:t>
            </w:r>
            <w:r w:rsidR="639C3EE3">
              <w:rPr/>
              <w:t xml:space="preserve"> </w:t>
            </w:r>
            <w:r w:rsidR="639C3EE3">
              <w:rPr/>
              <w:t>масового</w:t>
            </w:r>
            <w:r w:rsidR="639C3EE3">
              <w:rPr/>
              <w:t xml:space="preserve"> </w:t>
            </w:r>
            <w:r w:rsidR="639C3EE3">
              <w:rPr/>
              <w:t>вивільнення</w:t>
            </w:r>
            <w:r w:rsidR="639C3EE3">
              <w:rPr/>
              <w:t xml:space="preserve"> </w:t>
            </w:r>
            <w:r w:rsidR="639C3EE3">
              <w:rPr/>
              <w:t>працівників</w:t>
            </w:r>
            <w:r w:rsidR="639C3EE3">
              <w:rPr/>
              <w:t xml:space="preserve">) </w:t>
            </w:r>
          </w:p>
        </w:tc>
        <w:tc>
          <w:tcPr>
            <w:tcW w:w="23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0B25" w:rsidRDefault="00837861" w14:paraId="6F3FD96F" w14:textId="77777777">
            <w:pPr>
              <w:pStyle w:val="anchor"/>
            </w:pPr>
            <w:hyperlink w:tgtFrame="_blank" w:history="1" r:id="rId74">
              <w:r>
                <w:rPr>
                  <w:rStyle w:val="a3"/>
                </w:rPr>
                <w:t xml:space="preserve">наказ Мінекономіки «Про затвердження форми звітності № 4-ПН «Інформація про заплановане масове вивільнення працівників у зв’язку із </w:t>
              </w:r>
              <w:r>
                <w:rPr>
                  <w:rStyle w:val="a3"/>
                </w:rPr>
                <w:t>змінами в організації виробництва і праці» та Порядку її подання» від 18.03.2021 № 563</w:t>
              </w:r>
            </w:hyperlink>
          </w:p>
        </w:tc>
        <w:tc>
          <w:tcPr>
            <w:tcW w:w="4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D0B25" w:rsidRDefault="00837861" w14:paraId="4016D454" w14:textId="777777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□</w:t>
            </w:r>
          </w:p>
        </w:tc>
      </w:tr>
    </w:tbl>
    <w:p w:rsidR="00BD0B25" w:rsidP="37C4CD05" w:rsidRDefault="00BD0B25" w14:paraId="02EB378F" w14:textId="012B6720">
      <w:pPr>
        <w:pStyle w:val="a5"/>
        <w:rPr>
          <w:noProof w:val="0"/>
          <w:lang w:val="ru-RU"/>
        </w:rPr>
      </w:pPr>
      <w:r w:rsidRPr="37C4CD05" w:rsidR="37C4CD0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* Обов’язкові документи кадрової служби.</w:t>
      </w:r>
    </w:p>
    <w:sectPr w:rsidR="00BD0B25">
      <w:pgSz w:w="11906" w:h="16838" w:orient="portrait"/>
      <w:pgMar w:top="1134" w:right="850" w:bottom="1134" w:left="1701" w:header="708" w:footer="708" w:gutter="0"/>
      <w:cols w:space="720"/>
      <w:docGrid w:linePitch="360"/>
      <w:headerReference w:type="default" r:id="Rf3700351caef412a"/>
      <w:footerReference w:type="default" r:id="R8b54e0efabd147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ACD76ED" w:rsidTr="6ACD76ED" w14:paraId="6B7E96D5">
      <w:trPr>
        <w:trHeight w:val="300"/>
      </w:trPr>
      <w:tc>
        <w:tcPr>
          <w:tcW w:w="3115" w:type="dxa"/>
          <w:tcMar/>
        </w:tcPr>
        <w:p w:rsidR="6ACD76ED" w:rsidP="6ACD76ED" w:rsidRDefault="6ACD76ED" w14:paraId="77EEF031" w14:textId="00853D05">
          <w:pPr>
            <w:pStyle w:val="Header"/>
            <w:bidi w:val="0"/>
            <w:ind w:left="-115"/>
            <w:jc w:val="left"/>
          </w:pPr>
          <w:r w:rsidR="6ACD76ED">
            <w:rPr/>
            <w:t>school.prokadry.com.ua</w:t>
          </w:r>
        </w:p>
        <w:p w:rsidR="6ACD76ED" w:rsidP="6ACD76ED" w:rsidRDefault="6ACD76ED" w14:paraId="1386534A" w14:textId="24B19D03">
          <w:pPr>
            <w:pStyle w:val="Header"/>
            <w:bidi w:val="0"/>
            <w:ind w:left="-115"/>
            <w:jc w:val="left"/>
          </w:pPr>
          <w:r w:rsidR="6ACD76ED">
            <w:rPr/>
            <w:t xml:space="preserve">shop.expertus.media </w:t>
          </w:r>
        </w:p>
        <w:p w:rsidR="6ACD76ED" w:rsidP="6ACD76ED" w:rsidRDefault="6ACD76ED" w14:paraId="6E80CAE3" w14:textId="76E03EE2">
          <w:pPr>
            <w:pStyle w:val="Header"/>
            <w:bidi w:val="0"/>
            <w:ind w:left="-115"/>
            <w:jc w:val="left"/>
          </w:pPr>
          <w:r w:rsidR="6ACD76ED">
            <w:rPr/>
            <w:t>0 800 21 23 12</w:t>
          </w:r>
        </w:p>
      </w:tc>
      <w:tc>
        <w:tcPr>
          <w:tcW w:w="3115" w:type="dxa"/>
          <w:tcMar/>
        </w:tcPr>
        <w:p w:rsidR="6ACD76ED" w:rsidP="6ACD76ED" w:rsidRDefault="6ACD76ED" w14:paraId="224606D4" w14:textId="07F70ED8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6ACD76ED" w:rsidP="6ACD76ED" w:rsidRDefault="6ACD76ED" w14:paraId="312C4C69" w14:textId="59C48AD5">
          <w:pPr>
            <w:pStyle w:val="Header"/>
            <w:bidi w:val="0"/>
            <w:ind w:right="-115"/>
            <w:jc w:val="right"/>
          </w:pPr>
        </w:p>
      </w:tc>
    </w:tr>
  </w:tbl>
  <w:p w:rsidR="6ACD76ED" w:rsidP="6ACD76ED" w:rsidRDefault="6ACD76ED" w14:paraId="6A91A6CB" w14:textId="7D509482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ACD76ED" w:rsidTr="6ACD76ED" w14:paraId="74F6747D">
      <w:trPr>
        <w:trHeight w:val="300"/>
      </w:trPr>
      <w:tc>
        <w:tcPr>
          <w:tcW w:w="3115" w:type="dxa"/>
          <w:tcMar/>
        </w:tcPr>
        <w:p w:rsidR="6ACD76ED" w:rsidP="6ACD76ED" w:rsidRDefault="6ACD76ED" w14:paraId="2B4C3A4D" w14:textId="79353E90">
          <w:pPr>
            <w:pStyle w:val="Header"/>
            <w:bidi w:val="0"/>
            <w:ind w:left="-115"/>
            <w:jc w:val="left"/>
          </w:pPr>
          <w:r>
            <w:drawing>
              <wp:inline wp14:editId="461789BA" wp14:anchorId="6549C72E">
                <wp:extent cx="1752600" cy="581025"/>
                <wp:effectExtent l="0" t="0" r="0" b="0"/>
                <wp:docPr id="143047133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4e5037192d24d43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5" w:type="dxa"/>
          <w:tcMar/>
        </w:tcPr>
        <w:p w:rsidR="6ACD76ED" w:rsidP="6ACD76ED" w:rsidRDefault="6ACD76ED" w14:paraId="66CC5026" w14:textId="45BDEACB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6ACD76ED" w:rsidP="6ACD76ED" w:rsidRDefault="6ACD76ED" w14:paraId="641532D4" w14:textId="64758D97">
          <w:pPr>
            <w:pStyle w:val="Header"/>
            <w:bidi w:val="0"/>
            <w:ind w:right="-115"/>
            <w:jc w:val="right"/>
          </w:pPr>
        </w:p>
      </w:tc>
    </w:tr>
  </w:tbl>
  <w:p w:rsidR="6ACD76ED" w:rsidP="6ACD76ED" w:rsidRDefault="6ACD76ED" w14:paraId="597B0095" w14:textId="75884CB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81FE7"/>
    <w:multiLevelType w:val="multilevel"/>
    <w:tmpl w:val="1A1A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29777564">
    <w:abstractNumId w:val="0"/>
  </w:num>
  <w:num w:numId="2" w16cid:durableId="68486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25"/>
    <w:rsid w:val="00837861"/>
    <w:rsid w:val="00BD0B25"/>
    <w:rsid w:val="37C4CD05"/>
    <w:rsid w:val="639C3EE3"/>
    <w:rsid w:val="6ACD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BF886"/>
  <w15:chartTrackingRefBased/>
  <w15:docId w15:val="{57CFD4E0-AB3B-4D58-B92D-BB81938A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10" w:customStyle="1">
    <w:name w:val="Заголовок 1 Знак"/>
    <w:basedOn w:val="a0"/>
    <w:link w:val="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msonormal0" w:customStyle="1">
    <w:name w:val="msonormal"/>
    <w:basedOn w:val="a"/>
    <w:uiPriority w:val="99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nchor" w:customStyle="1">
    <w:name w:val="anchor"/>
    <w:basedOn w:val="a"/>
    <w:uiPriority w:val="99"/>
    <w:pPr>
      <w:spacing w:before="100" w:beforeAutospacing="1" w:after="100" w:afterAutospacing="1"/>
    </w:pPr>
  </w:style>
  <w:style w:type="paragraph" w:styleId="listitem" w:customStyle="1">
    <w:name w:val="list__item"/>
    <w:basedOn w:val="a"/>
    <w:uiPriority w:val="9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6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k.expertus.com.ua/law/16449?top=1" TargetMode="External" Id="rId26" /><Relationship Type="http://schemas.openxmlformats.org/officeDocument/2006/relationships/hyperlink" Target="https://ek.expertus.com.ua/law/25488?top=2" TargetMode="External" Id="rId47" /><Relationship Type="http://schemas.openxmlformats.org/officeDocument/2006/relationships/styles" Target="styles.xml" Id="rId2" /><Relationship Type="http://schemas.openxmlformats.org/officeDocument/2006/relationships/hyperlink" Target="https://ek.expertus.com.ua/law/16449?top=1" TargetMode="External" Id="rId24" /><Relationship Type="http://schemas.openxmlformats.org/officeDocument/2006/relationships/hyperlink" Target="https://ek.expertus.com.ua/law/26228" TargetMode="External" Id="rId32" /><Relationship Type="http://schemas.openxmlformats.org/officeDocument/2006/relationships/hyperlink" Target="https://ek.expertus.com.ua/law/10084?top=2" TargetMode="External" Id="rId37" /><Relationship Type="http://schemas.openxmlformats.org/officeDocument/2006/relationships/hyperlink" Target="https://ek.expertus.com.ua/law/14435?top=3" TargetMode="External" Id="rId40" /><Relationship Type="http://schemas.openxmlformats.org/officeDocument/2006/relationships/hyperlink" Target="https://ek.expertus.com.ua/law/10084?top=2" TargetMode="External" Id="rId45" /><Relationship Type="http://schemas.openxmlformats.org/officeDocument/2006/relationships/hyperlink" Target="https://ek.expertus.com.ua/law/10084?top=2" TargetMode="External" Id="rId53" /><Relationship Type="http://schemas.openxmlformats.org/officeDocument/2006/relationships/hyperlink" Target="https://ek.expertus.com.ua/law/10543?top=2" TargetMode="External" Id="rId74" /><Relationship Type="http://schemas.openxmlformats.org/officeDocument/2006/relationships/hyperlink" Target="https://ek.expertus.com.ua/law/21122?top=1" TargetMode="External" Id="rId61" /><Relationship Type="http://schemas.openxmlformats.org/officeDocument/2006/relationships/hyperlink" Target="https://ek.expertus.com.ua/law/16475" TargetMode="External" Id="rId19" /><Relationship Type="http://schemas.openxmlformats.org/officeDocument/2006/relationships/hyperlink" Target="https://ek.expertus.com.ua/law/26228" TargetMode="External" Id="rId14" /><Relationship Type="http://schemas.openxmlformats.org/officeDocument/2006/relationships/hyperlink" Target="https://ek.expertus.com.ua/law/26228" TargetMode="External" Id="rId22" /><Relationship Type="http://schemas.openxmlformats.org/officeDocument/2006/relationships/hyperlink" Target="https://ek.expertus.com.ua/law/26228" TargetMode="External" Id="rId30" /><Relationship Type="http://schemas.openxmlformats.org/officeDocument/2006/relationships/hyperlink" Target="https://ek.expertus.com.ua/law/25488?top=2" TargetMode="External" Id="rId8" /><Relationship Type="http://schemas.openxmlformats.org/officeDocument/2006/relationships/hyperlink" Target="https://ek.expertus.com.ua/law/10010?top=1" TargetMode="External" Id="rId72" /><Relationship Type="http://schemas.openxmlformats.org/officeDocument/2006/relationships/settings" Target="settings.xml" Id="rId3" /><Relationship Type="http://schemas.openxmlformats.org/officeDocument/2006/relationships/hyperlink" Target="https://ek.expertus.com.ua/law/21095" TargetMode="External" Id="rId12" /><Relationship Type="http://schemas.openxmlformats.org/officeDocument/2006/relationships/hyperlink" Target="https://ek.expertus.com.ua/law/21095" TargetMode="External" Id="rId17" /><Relationship Type="http://schemas.openxmlformats.org/officeDocument/2006/relationships/hyperlink" Target="https://ek.expertus.com.ua/law/14435?top=3" TargetMode="External" Id="rId33" /><Relationship Type="http://schemas.openxmlformats.org/officeDocument/2006/relationships/hyperlink" Target="https://ek.expertus.com.ua/law/26228" TargetMode="External" Id="rId59" /><Relationship Type="http://schemas.openxmlformats.org/officeDocument/2006/relationships/hyperlink" Target="https://ek.expertus.com.ua/law/26228" TargetMode="External" Id="rId20" /><Relationship Type="http://schemas.openxmlformats.org/officeDocument/2006/relationships/hyperlink" Target="https://ek.expertus.com.ua/law/25488?top=2" TargetMode="External" Id="rId41" /><Relationship Type="http://schemas.openxmlformats.org/officeDocument/2006/relationships/hyperlink" Target="https://ek.expertus.com.ua/law/16532" TargetMode="External" Id="rId70" /><Relationship Type="http://schemas.openxmlformats.org/officeDocument/2006/relationships/fontTable" Target="fontTable.xml" Id="rId75" /><Relationship Type="http://schemas.openxmlformats.org/officeDocument/2006/relationships/numbering" Target="numbering.xml" Id="rId1" /><Relationship Type="http://schemas.openxmlformats.org/officeDocument/2006/relationships/hyperlink" Target="https://ek.expertus.com.ua/law/16568?top=1" TargetMode="External" Id="rId6" /><Relationship Type="http://schemas.openxmlformats.org/officeDocument/2006/relationships/hyperlink" Target="https://ek.expertus.com.ua/law/10023?top=3" TargetMode="External" Id="rId15" /><Relationship Type="http://schemas.openxmlformats.org/officeDocument/2006/relationships/hyperlink" Target="https://ek.expertus.com.ua/law/26228" TargetMode="External" Id="rId28" /><Relationship Type="http://schemas.openxmlformats.org/officeDocument/2006/relationships/hyperlink" Target="https://ek.expertus.com.ua/law/26228" TargetMode="External" Id="rId57" /><Relationship Type="http://schemas.openxmlformats.org/officeDocument/2006/relationships/hyperlink" Target="https://ek.expertus.com.ua/law/26228" TargetMode="External" Id="rId10" /><Relationship Type="http://schemas.openxmlformats.org/officeDocument/2006/relationships/hyperlink" Target="https://ek.expertus.com.ua/law/26228" TargetMode="External" Id="rId44" /><Relationship Type="http://schemas.openxmlformats.org/officeDocument/2006/relationships/webSettings" Target="webSettings.xml" Id="rId4" /><Relationship Type="http://schemas.openxmlformats.org/officeDocument/2006/relationships/hyperlink" Target="https://ek.expertus.com.ua/law/14435?top=3" TargetMode="External" Id="rId39" /><Relationship Type="http://schemas.openxmlformats.org/officeDocument/2006/relationships/hyperlink" Target="https://ek.expertus.com.ua/law/25488?top=2" TargetMode="External" Id="rId34" /><Relationship Type="http://schemas.openxmlformats.org/officeDocument/2006/relationships/hyperlink" Target="https://ek.expertus.com.ua/law/14435?top=3" TargetMode="External" Id="rId50" /><Relationship Type="http://schemas.openxmlformats.org/officeDocument/2006/relationships/hyperlink" Target="https://ek.expertus.com.ua/law/24716" TargetMode="External" Id="rId55" /><Relationship Type="http://schemas.openxmlformats.org/officeDocument/2006/relationships/theme" Target="theme/theme1.xml" Id="rId76" /><Relationship Type="http://schemas.openxmlformats.org/officeDocument/2006/relationships/hyperlink" Target="https://ek.expertus.com.ua/law/16568?top=1" TargetMode="External" Id="rId7" /><Relationship Type="http://schemas.openxmlformats.org/officeDocument/2006/relationships/header" Target="header.xml" Id="Rf3700351caef412a" /><Relationship Type="http://schemas.openxmlformats.org/officeDocument/2006/relationships/footer" Target="footer.xml" Id="R8b54e0efabd14793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64e5037192d24d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Export HTML To Doc</dc:title>
  <dc:subject/>
  <dc:creator>Катерина Черниш</dc:creator>
  <keywords/>
  <dc:description/>
  <lastModifiedBy>MCFR MCFR</lastModifiedBy>
  <revision>5</revision>
  <dcterms:created xsi:type="dcterms:W3CDTF">2023-06-21T08:07:00.0000000Z</dcterms:created>
  <dcterms:modified xsi:type="dcterms:W3CDTF">2023-11-13T15:33:16.8136158Z</dcterms:modified>
</coreProperties>
</file>