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3190C" w:rsidR="00D42352" w:rsidP="007D3DBA" w:rsidRDefault="00C53BF3" w14:paraId="2218A992" w14:textId="06272764">
      <w:pPr>
        <w:pStyle w:val="1"/>
        <w:divId w:val="1601327452"/>
        <w:rPr>
          <w:rFonts w:eastAsia="Times New Roman"/>
        </w:rPr>
      </w:pPr>
      <w:r>
        <w:rPr>
          <w:rFonts w:eastAsia="Times New Roman"/>
        </w:rPr>
        <w:t>Кадрові звіти — 202</w:t>
      </w:r>
      <w:r w:rsidR="0033190C">
        <w:rPr>
          <w:rFonts w:eastAsia="Times New Roman"/>
        </w:rPr>
        <w:t>4</w:t>
      </w:r>
    </w:p>
    <w:p w:rsidR="00D42352" w:rsidRDefault="00C53BF3" w14:paraId="2218A993" w14:textId="271EE1D9">
      <w:pPr>
        <w:pStyle w:val="a3"/>
        <w:divId w:val="1892379137"/>
      </w:pPr>
      <w:r>
        <w:t xml:space="preserve">Вам не доведеться марнувати час, перевіряти терміни подання звітів та актуальність звітних форм. Експерти перевірили їх за вас та підготували зведену таблицю звітів, </w:t>
      </w:r>
      <w:r w:rsidRPr="00A12767" w:rsidR="00A12767">
        <w:t>які складатиме чи в підготовці яких братиме участь кадровик у 2024 році</w:t>
      </w:r>
      <w:r>
        <w:t>.</w:t>
      </w:r>
    </w:p>
    <w:tbl>
      <w:tblPr>
        <w:tblW w:w="5000" w:type="pct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741"/>
        <w:gridCol w:w="1816"/>
        <w:gridCol w:w="2008"/>
        <w:gridCol w:w="2230"/>
        <w:gridCol w:w="1275"/>
        <w:gridCol w:w="1447"/>
        <w:gridCol w:w="1875"/>
        <w:gridCol w:w="36"/>
      </w:tblGrid>
      <w:tr w:rsidR="00D42352" w:rsidTr="6B76E9F3" w14:paraId="2218A99B" w14:textId="77777777">
        <w:trPr>
          <w:gridAfter w:val="1"/>
          <w:divId w:val="1892379137"/>
          <w:tblHeader/>
        </w:trPr>
        <w:tc>
          <w:tcPr>
            <w:tcW w:w="73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94" w14:textId="77777777">
            <w:pPr>
              <w:pStyle w:val="a3"/>
              <w:jc w:val="center"/>
            </w:pPr>
            <w:r>
              <w:rPr>
                <w:rStyle w:val="a6"/>
              </w:rPr>
              <w:t>Назва звіту</w:t>
            </w:r>
          </w:p>
        </w:tc>
        <w:tc>
          <w:tcPr>
            <w:tcW w:w="599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95" w14:textId="77777777">
            <w:pPr>
              <w:pStyle w:val="a3"/>
              <w:jc w:val="center"/>
            </w:pPr>
            <w:r>
              <w:rPr>
                <w:rStyle w:val="a6"/>
              </w:rPr>
              <w:t>Періодичність подання</w:t>
            </w:r>
          </w:p>
        </w:tc>
        <w:tc>
          <w:tcPr>
            <w:tcW w:w="626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96" w14:textId="77777777">
            <w:pPr>
              <w:pStyle w:val="a3"/>
              <w:jc w:val="center"/>
            </w:pPr>
            <w:r>
              <w:rPr>
                <w:rStyle w:val="a6"/>
              </w:rPr>
              <w:t>Термін подання</w:t>
            </w:r>
          </w:p>
        </w:tc>
        <w:tc>
          <w:tcPr>
            <w:tcW w:w="69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97" w14:textId="77777777">
            <w:pPr>
              <w:pStyle w:val="a3"/>
              <w:jc w:val="center"/>
            </w:pPr>
            <w:r>
              <w:rPr>
                <w:rStyle w:val="a6"/>
              </w:rPr>
              <w:t>Хто подає (респонденти)</w:t>
            </w:r>
          </w:p>
        </w:tc>
        <w:tc>
          <w:tcPr>
            <w:tcW w:w="768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98" w14:textId="77777777">
            <w:pPr>
              <w:pStyle w:val="a3"/>
              <w:jc w:val="center"/>
            </w:pPr>
            <w:r>
              <w:rPr>
                <w:rStyle w:val="a6"/>
              </w:rPr>
              <w:t>Кому подають</w:t>
            </w:r>
          </w:p>
        </w:tc>
        <w:tc>
          <w:tcPr>
            <w:tcW w:w="937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99" w14:textId="77777777">
            <w:pPr>
              <w:pStyle w:val="a3"/>
              <w:jc w:val="center"/>
            </w:pPr>
            <w:r>
              <w:rPr>
                <w:rStyle w:val="a6"/>
              </w:rPr>
              <w:t>Нормативний акт,</w:t>
            </w:r>
            <w:r>
              <w:rPr>
                <w:b/>
                <w:bCs/>
              </w:rPr>
              <w:br/>
            </w:r>
            <w:r>
              <w:rPr>
                <w:rStyle w:val="a6"/>
              </w:rPr>
              <w:t>яким затверджено</w:t>
            </w:r>
          </w:p>
        </w:tc>
        <w:tc>
          <w:tcPr>
            <w:tcW w:w="643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9A" w14:textId="77777777">
            <w:pPr>
              <w:pStyle w:val="a3"/>
              <w:jc w:val="center"/>
            </w:pPr>
            <w:r>
              <w:rPr>
                <w:rStyle w:val="a6"/>
              </w:rPr>
              <w:t>Функції кадрової служби</w:t>
            </w:r>
          </w:p>
        </w:tc>
      </w:tr>
      <w:tr w:rsidR="00D42352" w:rsidTr="6B76E9F3" w14:paraId="2218A9A4" w14:textId="77777777">
        <w:trPr>
          <w:gridAfter w:val="1"/>
          <w:divId w:val="1892379137"/>
          <w:tblHeader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9C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9D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9E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9F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A0" w14:textId="77777777"/>
        </w:tc>
        <w:tc>
          <w:tcPr>
            <w:tcW w:w="43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1" w14:textId="77777777">
            <w:pPr>
              <w:pStyle w:val="a3"/>
              <w:jc w:val="center"/>
            </w:pPr>
            <w:r>
              <w:rPr>
                <w:rStyle w:val="a6"/>
              </w:rPr>
              <w:t>форму звіту</w:t>
            </w:r>
          </w:p>
        </w:tc>
        <w:tc>
          <w:tcPr>
            <w:tcW w:w="4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2" w14:textId="77777777">
            <w:pPr>
              <w:pStyle w:val="a3"/>
              <w:jc w:val="center"/>
            </w:pPr>
            <w:r>
              <w:rPr>
                <w:rStyle w:val="a6"/>
              </w:rPr>
              <w:t>інструкцію щодо заповнення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A3" w14:textId="77777777"/>
        </w:tc>
      </w:tr>
      <w:tr w:rsidR="00D42352" w:rsidTr="6B76E9F3" w14:paraId="2218A9A6" w14:textId="77777777">
        <w:trPr>
          <w:gridAfter w:val="1"/>
          <w:divId w:val="1892379137"/>
        </w:trPr>
        <w:tc>
          <w:tcPr>
            <w:tcW w:w="5000" w:type="pct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5" w14:textId="77777777">
            <w:pPr>
              <w:pStyle w:val="a3"/>
            </w:pPr>
            <w:r>
              <w:rPr>
                <w:rStyle w:val="a6"/>
              </w:rPr>
              <w:t>До органу Державної податкової служби</w:t>
            </w:r>
          </w:p>
        </w:tc>
      </w:tr>
      <w:tr w:rsidR="00D42352" w:rsidTr="6B76E9F3" w14:paraId="2218A9AE" w14:textId="77777777">
        <w:trPr>
          <w:gridAfter w:val="1"/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7" w14:textId="74F254C7">
            <w:pPr>
              <w:pStyle w:val="a3"/>
            </w:pPr>
            <w:r w:rsidRPr="00A12767">
              <w:t>Повідомлення про прийняття працівника на роботу</w:t>
            </w:r>
            <w:r>
              <w:rPr>
                <w:rStyle w:val="a6"/>
                <w:vertAlign w:val="superscript"/>
              </w:rPr>
              <w:t>1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8" w14:textId="77777777">
            <w:pPr>
              <w:pStyle w:val="a3"/>
            </w:pPr>
            <w:r>
              <w:t>У разі прийняття працівника на роботу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9" w14:textId="77777777">
            <w:pPr>
              <w:pStyle w:val="a3"/>
            </w:pPr>
            <w:r>
              <w:t>До початку роботи працівника за укладеним трудовим договором та / або до початку виконання робіт (надання послуг) гіг-спеціалістом резидента Дія Сіті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A" w14:textId="77777777">
            <w:pPr>
              <w:pStyle w:val="a3"/>
            </w:pPr>
            <w:r>
              <w:t>Власник підприємства, установи, організації або уповноважений ним орган (особа) чи фізособа та / або резидент Дія Сіті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B" w14:textId="77777777">
            <w:pPr>
              <w:pStyle w:val="a3"/>
            </w:pPr>
            <w:r>
              <w:t>До територіальних органів ДПС за місцем обліку як платника єдиного внеску на загальнообов’язкове державне соціальне страхування</w:t>
            </w:r>
          </w:p>
        </w:tc>
        <w:tc>
          <w:tcPr>
            <w:tcW w:w="937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000000" w14:paraId="2218A9AC" w14:textId="77777777">
            <w:pPr>
              <w:pStyle w:val="a3"/>
            </w:pPr>
            <w:hyperlink w:tgtFrame="_blank" w:history="1" r:id="rId8">
              <w:r w:rsidR="00C53BF3">
                <w:rPr>
                  <w:rStyle w:val="a4"/>
                </w:rPr>
                <w:t>Постанова КМУ від 17.06.2015 № 413</w:t>
              </w:r>
            </w:hyperlink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D" w14:textId="4D035919">
            <w:pPr>
              <w:pStyle w:val="anchor"/>
            </w:pPr>
            <w:r>
              <w:t xml:space="preserve">Передає бухгалтеру копію наказу. Подає </w:t>
            </w:r>
            <w:r w:rsidRPr="00A12767">
              <w:t>повідомлення</w:t>
            </w:r>
            <w:r>
              <w:t>, якщо це передбачає посадова інструкція, в електронному вигляді з КЕП</w:t>
            </w:r>
          </w:p>
        </w:tc>
      </w:tr>
      <w:tr w:rsidR="00D42352" w:rsidTr="6B76E9F3" w14:paraId="2218A9B0" w14:textId="77777777">
        <w:trPr>
          <w:gridAfter w:val="1"/>
          <w:divId w:val="1892379137"/>
        </w:trPr>
        <w:tc>
          <w:tcPr>
            <w:tcW w:w="5000" w:type="pct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AF" w14:textId="77777777">
            <w:pPr>
              <w:pStyle w:val="a3"/>
            </w:pPr>
            <w:r>
              <w:rPr>
                <w:rStyle w:val="a6"/>
              </w:rPr>
              <w:t>До Держстату</w:t>
            </w:r>
          </w:p>
        </w:tc>
      </w:tr>
      <w:tr w:rsidR="00D42352" w:rsidTr="6B76E9F3" w14:paraId="2218A9B9" w14:textId="77777777">
        <w:trPr>
          <w:gridAfter w:val="1"/>
          <w:divId w:val="1892379137"/>
          <w:trHeight w:val="276"/>
        </w:trPr>
        <w:tc>
          <w:tcPr>
            <w:tcW w:w="73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B1" w14:textId="66CB1659">
            <w:pPr>
              <w:pStyle w:val="anchor"/>
            </w:pPr>
            <w:r>
              <w:t>Форма № 1-ПВ (місячна) «Звіт з праці» за грудень 202</w:t>
            </w:r>
            <w:r w:rsidRPr="00A12767" w:rsidR="00FE1BAF">
              <w:rPr>
                <w:lang w:val="ru-RU"/>
              </w:rPr>
              <w:t>3</w:t>
            </w:r>
            <w:r>
              <w:t xml:space="preserve"> року</w:t>
            </w:r>
            <w:r>
              <w:rPr>
                <w:rStyle w:val="a6"/>
                <w:vertAlign w:val="superscript"/>
              </w:rPr>
              <w:t>2  </w:t>
            </w:r>
          </w:p>
        </w:tc>
        <w:tc>
          <w:tcPr>
            <w:tcW w:w="599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B2" w14:textId="77777777">
            <w:pPr>
              <w:pStyle w:val="a3"/>
            </w:pPr>
            <w:r>
              <w:t>Щомісяця</w:t>
            </w:r>
          </w:p>
        </w:tc>
        <w:tc>
          <w:tcPr>
            <w:tcW w:w="626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B3" w14:textId="77777777">
            <w:pPr>
              <w:pStyle w:val="a3"/>
            </w:pPr>
            <w:r>
              <w:t>Не пізніше 7-го числа місяця, наступного за звітним періодом</w:t>
            </w:r>
          </w:p>
        </w:tc>
        <w:tc>
          <w:tcPr>
            <w:tcW w:w="69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B4" w14:textId="6F0BFE91">
            <w:pPr>
              <w:pStyle w:val="a3"/>
            </w:pPr>
            <w:r w:rsidR="6B76E9F3">
              <w:rPr/>
              <w:t>Юрособи</w:t>
            </w:r>
            <w:r w:rsidR="6B76E9F3">
              <w:rPr/>
              <w:t xml:space="preserve"> та їх відокремлені підрозділи</w:t>
            </w:r>
          </w:p>
        </w:tc>
        <w:tc>
          <w:tcPr>
            <w:tcW w:w="768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B5" w14:textId="77777777">
            <w:pPr>
              <w:pStyle w:val="a3"/>
            </w:pPr>
            <w:r>
              <w:lastRenderedPageBreak/>
              <w:t>До територіального органу Держстату</w:t>
            </w:r>
          </w:p>
        </w:tc>
        <w:tc>
          <w:tcPr>
            <w:tcW w:w="439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FE1BAF" w14:paraId="2218A9B6" w14:textId="18255057">
            <w:pPr>
              <w:pStyle w:val="anchor"/>
            </w:pPr>
            <w:hyperlink w:tgtFrame="_blank" w:history="1" r:id="rId9">
              <w:r>
                <w:rPr>
                  <w:rStyle w:val="a4"/>
                </w:rPr>
                <w:t xml:space="preserve">Наказ </w:t>
              </w:r>
              <w:proofErr w:type="spellStart"/>
              <w:r>
                <w:rPr>
                  <w:rStyle w:val="a4"/>
                </w:rPr>
                <w:t>Держстату</w:t>
              </w:r>
              <w:proofErr w:type="spellEnd"/>
              <w:r>
                <w:rPr>
                  <w:rStyle w:val="a4"/>
                </w:rPr>
                <w:t xml:space="preserve"> від 12.05.2022 № 87</w:t>
              </w:r>
            </w:hyperlink>
          </w:p>
        </w:tc>
        <w:tc>
          <w:tcPr>
            <w:tcW w:w="497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FE1BAF" w14:paraId="2218A9B7" w14:textId="6A87E4AE">
            <w:pPr>
              <w:pStyle w:val="a3"/>
            </w:pPr>
            <w:r>
              <w:t xml:space="preserve">Роз’яснення Держстату від 31.10.2022 № </w:t>
            </w:r>
            <w:r>
              <w:lastRenderedPageBreak/>
              <w:t>19.1.2-12/45-22</w:t>
            </w:r>
          </w:p>
        </w:tc>
        <w:tc>
          <w:tcPr>
            <w:tcW w:w="643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B8" w14:textId="77777777">
            <w:pPr>
              <w:pStyle w:val="anchor"/>
            </w:pPr>
            <w:r>
              <w:lastRenderedPageBreak/>
              <w:t>Бере участь у підготовці</w:t>
            </w:r>
          </w:p>
        </w:tc>
      </w:tr>
      <w:tr w:rsidR="00D42352" w:rsidTr="6B76E9F3" w14:paraId="2218A9C3" w14:textId="77777777">
        <w:trPr>
          <w:divId w:val="1892379137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BA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BB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BC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BD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BE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BF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C0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C1" w14:textId="77777777"/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D42352" w14:paraId="2218A9C2" w14:textId="77777777"/>
        </w:tc>
      </w:tr>
      <w:tr w:rsidR="00D42352" w:rsidTr="6B76E9F3" w14:paraId="2218A9CD" w14:textId="77777777">
        <w:trPr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4" w14:textId="7A5CE78F">
            <w:pPr>
              <w:pStyle w:val="anchor"/>
            </w:pPr>
            <w:r>
              <w:t>Форма № 1-ПВ (місячна) «Звіт з праці» починаючи зі звіту за січень 202</w:t>
            </w:r>
            <w:r w:rsidRPr="00A12767" w:rsidR="00FE1BAF">
              <w:rPr>
                <w:lang w:val="ru-RU"/>
              </w:rPr>
              <w:t>4</w:t>
            </w:r>
            <w:r>
              <w:t xml:space="preserve"> року</w:t>
            </w:r>
            <w:r>
              <w:rPr>
                <w:rStyle w:val="a6"/>
                <w:vertAlign w:val="superscript"/>
              </w:rPr>
              <w:t>2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5" w14:textId="77777777">
            <w:pPr>
              <w:pStyle w:val="a3"/>
            </w:pPr>
            <w:r>
              <w:t>Щомісяця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6" w14:textId="77777777">
            <w:pPr>
              <w:pStyle w:val="a3"/>
            </w:pPr>
            <w:r>
              <w:t>Не пізніше 7-го числа місяця, наступного за звітним періодом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7" w14:textId="0C24AA34">
            <w:pPr>
              <w:pStyle w:val="a3"/>
            </w:pPr>
            <w:r w:rsidR="6B76E9F3">
              <w:rPr/>
              <w:t>Юрособи</w:t>
            </w:r>
            <w:r w:rsidR="6B76E9F3">
              <w:rPr/>
              <w:t xml:space="preserve"> та їх відокремлені підрозділи 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8" w14:textId="77777777">
            <w:pPr>
              <w:pStyle w:val="a3"/>
            </w:pPr>
            <w:r>
              <w:t>До територіального органу Держстату</w:t>
            </w:r>
          </w:p>
        </w:tc>
        <w:tc>
          <w:tcPr>
            <w:tcW w:w="43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8035A3" w:rsidR="00D42352" w:rsidRDefault="008035A3" w14:paraId="2218A9C9" w14:textId="592C5EEB">
            <w:pPr>
              <w:pStyle w:val="anchor"/>
            </w:pPr>
            <w:hyperlink w:history="1" r:id="rId10">
              <w:r w:rsidRPr="008035A3" w:rsidR="00F74131">
                <w:rPr>
                  <w:rStyle w:val="a4"/>
                </w:rPr>
                <w:t xml:space="preserve">Наказ </w:t>
              </w:r>
              <w:proofErr w:type="spellStart"/>
              <w:r w:rsidRPr="008035A3" w:rsidR="00F74131">
                <w:rPr>
                  <w:rStyle w:val="a4"/>
                </w:rPr>
                <w:t>Держстату</w:t>
              </w:r>
              <w:proofErr w:type="spellEnd"/>
              <w:r w:rsidRPr="008035A3" w:rsidR="00F74131">
                <w:rPr>
                  <w:rStyle w:val="a4"/>
                </w:rPr>
                <w:t xml:space="preserve"> від </w:t>
              </w:r>
              <w:r w:rsidRPr="008035A3" w:rsidR="00CD5D25">
                <w:rPr>
                  <w:rStyle w:val="a4"/>
                  <w:lang w:val="en-US"/>
                </w:rPr>
                <w:t>30</w:t>
              </w:r>
              <w:r w:rsidRPr="008035A3" w:rsidR="00F74131">
                <w:rPr>
                  <w:rStyle w:val="a4"/>
                </w:rPr>
                <w:t>.0</w:t>
              </w:r>
              <w:r w:rsidRPr="008035A3" w:rsidR="00CD5D25">
                <w:rPr>
                  <w:rStyle w:val="a4"/>
                  <w:lang w:val="en-US"/>
                </w:rPr>
                <w:t>3</w:t>
              </w:r>
              <w:r w:rsidRPr="008035A3" w:rsidR="00F74131">
                <w:rPr>
                  <w:rStyle w:val="a4"/>
                </w:rPr>
                <w:t>.202</w:t>
              </w:r>
              <w:r w:rsidRPr="008035A3" w:rsidR="00CD5D25">
                <w:rPr>
                  <w:rStyle w:val="a4"/>
                  <w:lang w:val="en-US"/>
                </w:rPr>
                <w:t>3</w:t>
              </w:r>
              <w:r w:rsidRPr="008035A3" w:rsidR="00F74131">
                <w:rPr>
                  <w:rStyle w:val="a4"/>
                </w:rPr>
                <w:t xml:space="preserve"> № </w:t>
              </w:r>
              <w:r w:rsidRPr="008035A3" w:rsidR="00CD5D25">
                <w:rPr>
                  <w:rStyle w:val="a4"/>
                  <w:lang w:val="en-US"/>
                </w:rPr>
                <w:t>12</w:t>
              </w:r>
              <w:r w:rsidRPr="008035A3" w:rsidR="00F74131">
                <w:rPr>
                  <w:rStyle w:val="a4"/>
                </w:rPr>
                <w:t>8</w:t>
              </w:r>
            </w:hyperlink>
          </w:p>
        </w:tc>
        <w:tc>
          <w:tcPr>
            <w:tcW w:w="4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A" w14:textId="164254E2">
            <w:pPr>
              <w:pStyle w:val="anchor"/>
            </w:pPr>
            <w:r>
              <w:t xml:space="preserve">Роз’яснення Держстату від </w:t>
            </w:r>
            <w:r w:rsidRPr="00A12767" w:rsidR="00B77A75">
              <w:t>27.</w:t>
            </w:r>
            <w:r w:rsidRPr="00A12767" w:rsidR="00B51903">
              <w:t>04.</w:t>
            </w:r>
            <w:r w:rsidRPr="00A12767" w:rsidR="00B77A75">
              <w:t>2023 № 19.1.2-12/9-23</w:t>
            </w:r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B" w14:textId="77777777">
            <w:pPr>
              <w:pStyle w:val="a3"/>
            </w:pPr>
            <w:r>
              <w:t>Бере участь у підготовці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9CC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9D7" w14:textId="77777777">
        <w:trPr>
          <w:divId w:val="1892379137"/>
        </w:trPr>
        <w:tc>
          <w:tcPr>
            <w:tcW w:w="73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E" w14:textId="09BF3114">
            <w:pPr>
              <w:pStyle w:val="anchor"/>
            </w:pPr>
            <w:r>
              <w:t>Форма 1-ПВ (квартальна) «Звіт із праці» за IV квартал 202</w:t>
            </w:r>
            <w:r w:rsidR="00B51903">
              <w:t>3</w:t>
            </w:r>
            <w:r>
              <w:t xml:space="preserve"> року</w:t>
            </w:r>
            <w:r>
              <w:rPr>
                <w:rStyle w:val="a6"/>
                <w:vertAlign w:val="superscript"/>
              </w:rPr>
              <w:t>2</w:t>
            </w:r>
          </w:p>
        </w:tc>
        <w:tc>
          <w:tcPr>
            <w:tcW w:w="599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CF" w14:textId="77777777">
            <w:pPr>
              <w:pStyle w:val="a3"/>
            </w:pPr>
            <w:r>
              <w:t>Щокварталу</w:t>
            </w:r>
          </w:p>
        </w:tc>
        <w:tc>
          <w:tcPr>
            <w:tcW w:w="626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D0" w14:textId="77777777">
            <w:pPr>
              <w:pStyle w:val="a3"/>
            </w:pPr>
            <w:r>
              <w:t>Не пізніше 7-го числа місяця, наступного за звітним періодом</w:t>
            </w:r>
          </w:p>
        </w:tc>
        <w:tc>
          <w:tcPr>
            <w:tcW w:w="69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D1" w14:textId="77777777">
            <w:pPr>
              <w:pStyle w:val="a3"/>
            </w:pPr>
            <w:r>
              <w:t>Юрособи та їх відокремлені підрозділи</w:t>
            </w:r>
          </w:p>
        </w:tc>
        <w:tc>
          <w:tcPr>
            <w:tcW w:w="768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D2" w14:textId="77777777">
            <w:pPr>
              <w:pStyle w:val="a3"/>
            </w:pPr>
            <w:r>
              <w:t>До територіального органу Держстату</w:t>
            </w:r>
          </w:p>
        </w:tc>
        <w:tc>
          <w:tcPr>
            <w:tcW w:w="439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D3" w14:textId="06CA90FB">
            <w:pPr>
              <w:pStyle w:val="anchor"/>
            </w:pPr>
            <w:r>
              <w:t> </w:t>
            </w:r>
            <w:hyperlink w:tgtFrame="_blank" w:history="1" r:id="rId11">
              <w:r w:rsidR="00B51903">
                <w:rPr>
                  <w:rStyle w:val="a4"/>
                </w:rPr>
                <w:t xml:space="preserve">Наказ </w:t>
              </w:r>
              <w:proofErr w:type="spellStart"/>
              <w:r w:rsidR="00B51903">
                <w:rPr>
                  <w:rStyle w:val="a4"/>
                </w:rPr>
                <w:t>Держстату</w:t>
              </w:r>
              <w:proofErr w:type="spellEnd"/>
              <w:r w:rsidR="00B51903">
                <w:rPr>
                  <w:rStyle w:val="a4"/>
                </w:rPr>
                <w:t xml:space="preserve"> від 12.05.2022 № 87</w:t>
              </w:r>
            </w:hyperlink>
          </w:p>
        </w:tc>
        <w:tc>
          <w:tcPr>
            <w:tcW w:w="497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4201B3" w14:paraId="2218A9D4" w14:textId="432741E8">
            <w:pPr>
              <w:pStyle w:val="anchor"/>
            </w:pPr>
            <w:r>
              <w:t>Роз’яснення Держстату від 31.10.2022 № 19.1.2-12/44-22</w:t>
            </w:r>
          </w:p>
        </w:tc>
        <w:tc>
          <w:tcPr>
            <w:tcW w:w="643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D5" w14:textId="77777777">
            <w:pPr>
              <w:pStyle w:val="a3"/>
            </w:pPr>
            <w:r>
              <w:t>Бере участь у підготовці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9D6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9E1" w14:textId="77777777">
        <w:trPr>
          <w:divId w:val="1892379137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D8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D9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DA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DB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DC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DD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DE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9DF" w14:textId="77777777"/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D42352" w14:paraId="2218A9E0" w14:textId="77777777"/>
        </w:tc>
      </w:tr>
      <w:tr w:rsidR="00D42352" w:rsidTr="6B76E9F3" w14:paraId="2218A9EB" w14:textId="77777777">
        <w:trPr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2" w14:textId="541838F2">
            <w:pPr>
              <w:pStyle w:val="anchor"/>
            </w:pPr>
            <w:r>
              <w:t>Форма № 1-ПВ (квартальна) «Звіт із праці»</w:t>
            </w:r>
            <w:r>
              <w:rPr>
                <w:vertAlign w:val="superscript"/>
              </w:rPr>
              <w:t xml:space="preserve"> </w:t>
            </w:r>
            <w:r>
              <w:t> — з І кварталу 202</w:t>
            </w:r>
            <w:r w:rsidR="000842A0">
              <w:t>4</w:t>
            </w:r>
            <w:r>
              <w:t xml:space="preserve"> року</w:t>
            </w:r>
            <w:r>
              <w:rPr>
                <w:rStyle w:val="a6"/>
                <w:vertAlign w:val="superscript"/>
              </w:rPr>
              <w:t>2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3" w14:textId="77777777">
            <w:pPr>
              <w:pStyle w:val="a3"/>
            </w:pPr>
            <w:r>
              <w:t>Щокварталу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4" w14:textId="77777777">
            <w:pPr>
              <w:pStyle w:val="a3"/>
            </w:pPr>
            <w:r>
              <w:t>Не пізніше 7-го числа місяця, наступного за звітним періодом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5" w14:textId="77777777">
            <w:pPr>
              <w:pStyle w:val="a3"/>
            </w:pPr>
            <w:r>
              <w:t>Юрособи та їх відокремлені підрозділи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6" w14:textId="77777777">
            <w:pPr>
              <w:pStyle w:val="a3"/>
            </w:pPr>
            <w:r>
              <w:t>До територіального органу Держстату</w:t>
            </w:r>
          </w:p>
        </w:tc>
        <w:tc>
          <w:tcPr>
            <w:tcW w:w="43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9B5C3C" w14:paraId="2218A9E7" w14:textId="404D89AF">
            <w:pPr>
              <w:pStyle w:val="anchor"/>
            </w:pPr>
            <w:hyperlink w:history="1" r:id="rId12">
              <w:r w:rsidRPr="008035A3">
                <w:rPr>
                  <w:rStyle w:val="a4"/>
                </w:rPr>
                <w:t xml:space="preserve">Наказ </w:t>
              </w:r>
              <w:proofErr w:type="spellStart"/>
              <w:r w:rsidRPr="008035A3">
                <w:rPr>
                  <w:rStyle w:val="a4"/>
                </w:rPr>
                <w:t>Держстату</w:t>
              </w:r>
              <w:proofErr w:type="spellEnd"/>
              <w:r w:rsidRPr="008035A3">
                <w:rPr>
                  <w:rStyle w:val="a4"/>
                </w:rPr>
                <w:t xml:space="preserve"> від </w:t>
              </w:r>
              <w:r w:rsidRPr="008035A3">
                <w:rPr>
                  <w:rStyle w:val="a4"/>
                  <w:lang w:val="en-US"/>
                </w:rPr>
                <w:t>30</w:t>
              </w:r>
              <w:r w:rsidRPr="008035A3">
                <w:rPr>
                  <w:rStyle w:val="a4"/>
                </w:rPr>
                <w:t>.0</w:t>
              </w:r>
              <w:r w:rsidRPr="008035A3">
                <w:rPr>
                  <w:rStyle w:val="a4"/>
                  <w:lang w:val="en-US"/>
                </w:rPr>
                <w:t>3</w:t>
              </w:r>
              <w:r w:rsidRPr="008035A3">
                <w:rPr>
                  <w:rStyle w:val="a4"/>
                </w:rPr>
                <w:t>.202</w:t>
              </w:r>
              <w:r w:rsidRPr="008035A3">
                <w:rPr>
                  <w:rStyle w:val="a4"/>
                  <w:lang w:val="en-US"/>
                </w:rPr>
                <w:t>3</w:t>
              </w:r>
              <w:r w:rsidRPr="008035A3">
                <w:rPr>
                  <w:rStyle w:val="a4"/>
                </w:rPr>
                <w:t xml:space="preserve"> № </w:t>
              </w:r>
              <w:r w:rsidRPr="008035A3">
                <w:rPr>
                  <w:rStyle w:val="a4"/>
                  <w:lang w:val="en-US"/>
                </w:rPr>
                <w:t>12</w:t>
              </w:r>
              <w:r w:rsidRPr="008035A3">
                <w:rPr>
                  <w:rStyle w:val="a4"/>
                </w:rPr>
                <w:t>8</w:t>
              </w:r>
            </w:hyperlink>
          </w:p>
        </w:tc>
        <w:tc>
          <w:tcPr>
            <w:tcW w:w="4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61356C" w14:paraId="2218A9E8" w14:textId="79A7DC62">
            <w:pPr>
              <w:pStyle w:val="anchor"/>
            </w:pPr>
            <w:r>
              <w:t xml:space="preserve">Роз’яснення </w:t>
            </w:r>
            <w:proofErr w:type="spellStart"/>
            <w:r>
              <w:t>Держстату</w:t>
            </w:r>
            <w:proofErr w:type="spellEnd"/>
            <w:r>
              <w:t xml:space="preserve"> від </w:t>
            </w:r>
            <w:r w:rsidRPr="00EA452B">
              <w:t>27.04.2023 № 19.1.2-12/</w:t>
            </w:r>
            <w:r>
              <w:t>10</w:t>
            </w:r>
            <w:r w:rsidRPr="00EA452B">
              <w:t>-23</w:t>
            </w:r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9" w14:textId="77777777">
            <w:pPr>
              <w:pStyle w:val="a3"/>
            </w:pPr>
            <w:r>
              <w:t>Бере участь у підготовці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9EA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9F5" w14:textId="77777777">
        <w:trPr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C" w14:textId="7A41A3AE">
            <w:pPr>
              <w:pStyle w:val="a3"/>
            </w:pPr>
            <w:r>
              <w:lastRenderedPageBreak/>
              <w:t>Форма № 1-</w:t>
            </w:r>
            <w:r w:rsidR="006821E1">
              <w:t>ПВ</w:t>
            </w:r>
            <w:r>
              <w:t xml:space="preserve"> (один раз на </w:t>
            </w:r>
            <w:r w:rsidR="006821E1">
              <w:t xml:space="preserve">два </w:t>
            </w:r>
            <w:r>
              <w:t xml:space="preserve">роки) «Звіт про </w:t>
            </w:r>
            <w:r w:rsidR="006821E1">
              <w:t>умови праці, пільги та компенсації за роботу зі шкідливими умовами праці</w:t>
            </w:r>
            <w:r>
              <w:t>» за 202</w:t>
            </w:r>
            <w:r w:rsidR="006821E1">
              <w:t>3</w:t>
            </w:r>
            <w:r>
              <w:t xml:space="preserve"> рік</w:t>
            </w:r>
            <w:r>
              <w:rPr>
                <w:rStyle w:val="a6"/>
                <w:vertAlign w:val="superscript"/>
              </w:rPr>
              <w:t>2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D" w14:textId="77777777">
            <w:pPr>
              <w:pStyle w:val="a3"/>
            </w:pPr>
            <w:r>
              <w:t>Щороку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E" w14:textId="2222B3EF">
            <w:pPr>
              <w:pStyle w:val="a3"/>
            </w:pPr>
            <w:r>
              <w:t xml:space="preserve">Не пізніше </w:t>
            </w:r>
            <w:r w:rsidR="00F3277B">
              <w:t>28</w:t>
            </w:r>
            <w:r>
              <w:t>.0</w:t>
            </w:r>
            <w:r w:rsidR="00F3277B">
              <w:t>2</w:t>
            </w:r>
            <w:r>
              <w:t>.202</w:t>
            </w:r>
            <w:r w:rsidR="00F3277B">
              <w:t>4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EF" w14:textId="77777777">
            <w:pPr>
              <w:pStyle w:val="a3"/>
            </w:pPr>
            <w:r>
              <w:t>Юрособи та їх відокремлені підрозділи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0" w14:textId="77777777">
            <w:pPr>
              <w:pStyle w:val="a3"/>
            </w:pPr>
            <w:r>
              <w:t>До територіального органу Держстату</w:t>
            </w:r>
          </w:p>
        </w:tc>
        <w:tc>
          <w:tcPr>
            <w:tcW w:w="43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9F1599" w14:paraId="2218A9F1" w14:textId="285DA288">
            <w:pPr>
              <w:pStyle w:val="a3"/>
            </w:pPr>
            <w:r w:rsidRPr="00A12767">
              <w:t xml:space="preserve">Наказ </w:t>
            </w:r>
            <w:proofErr w:type="spellStart"/>
            <w:r w:rsidRPr="00A12767">
              <w:t>Держстату</w:t>
            </w:r>
            <w:proofErr w:type="spellEnd"/>
            <w:r w:rsidRPr="00A12767">
              <w:t xml:space="preserve"> від 3</w:t>
            </w:r>
            <w:r>
              <w:t>0</w:t>
            </w:r>
            <w:r w:rsidRPr="00A12767">
              <w:t>.0</w:t>
            </w:r>
            <w:r>
              <w:t>3</w:t>
            </w:r>
            <w:r w:rsidRPr="00A12767">
              <w:t>.202</w:t>
            </w:r>
            <w:r>
              <w:t>3</w:t>
            </w:r>
            <w:r w:rsidRPr="00A12767">
              <w:t xml:space="preserve"> № </w:t>
            </w:r>
            <w:r>
              <w:t>1</w:t>
            </w:r>
            <w:r w:rsidRPr="00A12767">
              <w:t xml:space="preserve">27 </w:t>
            </w:r>
          </w:p>
        </w:tc>
        <w:tc>
          <w:tcPr>
            <w:tcW w:w="4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2" w14:textId="0FD5FF71">
            <w:pPr>
              <w:pStyle w:val="a3"/>
            </w:pPr>
            <w:r>
              <w:t xml:space="preserve">Роз’яснення </w:t>
            </w:r>
            <w:proofErr w:type="spellStart"/>
            <w:r>
              <w:t>Держстату</w:t>
            </w:r>
            <w:proofErr w:type="spellEnd"/>
            <w:r>
              <w:t xml:space="preserve"> від </w:t>
            </w:r>
            <w:proofErr w:type="spellStart"/>
            <w:r w:rsidR="00C82E23">
              <w:t>від</w:t>
            </w:r>
            <w:proofErr w:type="spellEnd"/>
            <w:r w:rsidR="00C82E23">
              <w:t xml:space="preserve"> </w:t>
            </w:r>
            <w:r w:rsidRPr="00EA452B" w:rsidR="00C82E23">
              <w:t>27.04.2023 № 19.1.2-12/</w:t>
            </w:r>
            <w:r w:rsidR="00C82E23">
              <w:t>1</w:t>
            </w:r>
            <w:r w:rsidR="00190B44">
              <w:t>1</w:t>
            </w:r>
            <w:r w:rsidRPr="00EA452B" w:rsidR="00C82E23">
              <w:t>-23</w:t>
            </w:r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3" w14:textId="77777777">
            <w:pPr>
              <w:pStyle w:val="a3"/>
            </w:pPr>
            <w:r>
              <w:t>Бере участь у підготовці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9F4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9FF" w14:textId="77777777">
        <w:trPr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6" w14:textId="1FB53AF7">
            <w:pPr>
              <w:pStyle w:val="a3"/>
            </w:pPr>
            <w:r>
              <w:t>Форма № 3-наука (річна) «Звіт про здійснення наукових досліджень і розробок за 202</w:t>
            </w:r>
            <w:r w:rsidR="00190B44">
              <w:t>3</w:t>
            </w:r>
            <w:r>
              <w:t xml:space="preserve"> рік»</w:t>
            </w:r>
            <w:r>
              <w:rPr>
                <w:rStyle w:val="a6"/>
                <w:vertAlign w:val="superscript"/>
              </w:rPr>
              <w:t xml:space="preserve"> 2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7" w14:textId="77777777">
            <w:pPr>
              <w:pStyle w:val="a3"/>
            </w:pPr>
            <w:r>
              <w:t>Щороку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8" w14:textId="556D7C49">
            <w:pPr>
              <w:pStyle w:val="a3"/>
            </w:pPr>
            <w:r>
              <w:t>Не пізніше 0</w:t>
            </w:r>
            <w:r w:rsidR="00694313">
              <w:t>5</w:t>
            </w:r>
            <w:r>
              <w:t>.03.202</w:t>
            </w:r>
            <w:r w:rsidR="00694313">
              <w:t>4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9" w14:textId="77777777">
            <w:pPr>
              <w:pStyle w:val="a3"/>
            </w:pPr>
            <w:r>
              <w:t>Юридичні особи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A" w14:textId="77777777">
            <w:pPr>
              <w:pStyle w:val="a3"/>
            </w:pPr>
            <w:r>
              <w:t>До територіального органу Держстату</w:t>
            </w:r>
          </w:p>
        </w:tc>
        <w:tc>
          <w:tcPr>
            <w:tcW w:w="43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694313" w14:paraId="2218A9FB" w14:textId="6445E2A5">
            <w:pPr>
              <w:pStyle w:val="a3"/>
            </w:pPr>
            <w:r w:rsidRPr="00A12767">
              <w:t xml:space="preserve">Наказ </w:t>
            </w:r>
            <w:proofErr w:type="spellStart"/>
            <w:r w:rsidRPr="00A12767">
              <w:t>Держстату</w:t>
            </w:r>
            <w:proofErr w:type="spellEnd"/>
            <w:r w:rsidRPr="00A12767">
              <w:t xml:space="preserve"> від 10.0</w:t>
            </w:r>
            <w:r w:rsidR="008C1779">
              <w:t>4</w:t>
            </w:r>
            <w:r w:rsidRPr="00A12767">
              <w:t>.202</w:t>
            </w:r>
            <w:r w:rsidR="008C1779">
              <w:t>3</w:t>
            </w:r>
            <w:r w:rsidRPr="00A12767">
              <w:t xml:space="preserve"> № 1</w:t>
            </w:r>
            <w:r w:rsidR="008C1779">
              <w:t>41</w:t>
            </w:r>
            <w:r w:rsidRPr="00A12767">
              <w:t> </w:t>
            </w:r>
          </w:p>
        </w:tc>
        <w:tc>
          <w:tcPr>
            <w:tcW w:w="497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C" w14:textId="7FAB9D2C">
            <w:pPr>
              <w:pStyle w:val="anchor"/>
            </w:pPr>
            <w:r>
              <w:t xml:space="preserve">Роз’яснення </w:t>
            </w:r>
            <w:proofErr w:type="spellStart"/>
            <w:r>
              <w:t>Держстату</w:t>
            </w:r>
            <w:proofErr w:type="spellEnd"/>
            <w:r>
              <w:t xml:space="preserve"> від </w:t>
            </w:r>
            <w:proofErr w:type="spellStart"/>
            <w:r w:rsidR="00447163">
              <w:t>від</w:t>
            </w:r>
            <w:proofErr w:type="spellEnd"/>
            <w:r w:rsidR="00447163">
              <w:t xml:space="preserve"> </w:t>
            </w:r>
            <w:r w:rsidR="00FD2223">
              <w:rPr>
                <w:lang w:val="en-US"/>
              </w:rPr>
              <w:t>05</w:t>
            </w:r>
            <w:r w:rsidRPr="00EA452B" w:rsidR="00447163">
              <w:t>.0</w:t>
            </w:r>
            <w:r w:rsidR="00FD2223">
              <w:rPr>
                <w:lang w:val="en-US"/>
              </w:rPr>
              <w:t>3</w:t>
            </w:r>
            <w:r w:rsidRPr="00EA452B" w:rsidR="00447163">
              <w:t>.2023 № 19.1.2-12/</w:t>
            </w:r>
            <w:r w:rsidR="00447163">
              <w:t>1</w:t>
            </w:r>
            <w:r w:rsidR="00FD2223">
              <w:rPr>
                <w:lang w:val="en-US"/>
              </w:rPr>
              <w:t>3</w:t>
            </w:r>
            <w:r w:rsidRPr="00EA452B" w:rsidR="00447163">
              <w:t>-23</w:t>
            </w:r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9FD" w14:textId="77777777">
            <w:pPr>
              <w:pStyle w:val="a3"/>
            </w:pPr>
            <w:r>
              <w:t> Бере участь у підготовці 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9FE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A02" w14:textId="77777777">
        <w:trPr>
          <w:divId w:val="1892379137"/>
        </w:trPr>
        <w:tc>
          <w:tcPr>
            <w:tcW w:w="5000" w:type="pct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0" w14:textId="77777777">
            <w:pPr>
              <w:pStyle w:val="a3"/>
            </w:pPr>
            <w:r>
              <w:rPr>
                <w:rStyle w:val="a6"/>
              </w:rPr>
              <w:t>До служби зайнятості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A01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A0B" w14:textId="77777777">
        <w:trPr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3" w14:textId="3C27AC31">
            <w:pPr>
              <w:pStyle w:val="anchor"/>
            </w:pPr>
            <w:r w:rsidRPr="00A12767">
              <w:t>Форма № 3-ПН «Інформація про попит на робочу силу (вакансії)»</w:t>
            </w:r>
            <w:r>
              <w:rPr>
                <w:rStyle w:val="a6"/>
                <w:vertAlign w:val="superscript"/>
              </w:rPr>
              <w:t>3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4" w14:textId="77777777">
            <w:pPr>
              <w:pStyle w:val="a3"/>
            </w:pPr>
            <w:r>
              <w:t>За наявності попиту на робочу силу (вакансії)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5" w14:textId="77777777">
            <w:pPr>
              <w:pStyle w:val="a3"/>
            </w:pPr>
            <w:r>
              <w:t>Не пізніше ніж через три робочі дні з дати відкриття вакансії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6" w14:textId="77777777">
            <w:pPr>
              <w:pStyle w:val="a3"/>
            </w:pPr>
            <w:r>
              <w:t>Юрособи та ФОП, що мають найманих працівників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7" w14:textId="77777777">
            <w:pPr>
              <w:pStyle w:val="a3"/>
            </w:pPr>
            <w:r>
              <w:t xml:space="preserve">До філій міжрегіональних /регіональних центрів зайнятості (або міським, районним, міськрайонним центрам зайнятості </w:t>
            </w:r>
            <w:r>
              <w:lastRenderedPageBreak/>
              <w:t>— до дати припинення їхньої діяльності) незалежно від місцезнаходження</w:t>
            </w:r>
          </w:p>
        </w:tc>
        <w:tc>
          <w:tcPr>
            <w:tcW w:w="937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000000" w14:paraId="2218AA08" w14:textId="77777777">
            <w:pPr>
              <w:pStyle w:val="anchor"/>
            </w:pPr>
            <w:hyperlink w:tgtFrame="_blank" w:history="1" r:id="rId13">
              <w:r w:rsidR="00C53BF3">
                <w:rPr>
                  <w:rStyle w:val="a4"/>
                </w:rPr>
                <w:t>Наказ Мінекономіки</w:t>
              </w:r>
              <w:r w:rsidR="00C53BF3">
                <w:rPr>
                  <w:color w:val="0000FF"/>
                  <w:u w:val="single"/>
                </w:rPr>
                <w:br/>
              </w:r>
              <w:r w:rsidR="00C53BF3">
                <w:rPr>
                  <w:rStyle w:val="a4"/>
                </w:rPr>
                <w:t>від 12.04.2022 № 827-22</w:t>
              </w:r>
            </w:hyperlink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9" w14:textId="412B253B">
            <w:pPr>
              <w:pStyle w:val="a3"/>
            </w:pPr>
            <w:r>
              <w:t xml:space="preserve">Складає та подає в </w:t>
            </w:r>
            <w:r w:rsidRPr="00A12767">
              <w:t>паперовому або електронному вигляді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A0A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A14" w14:textId="77777777">
        <w:trPr>
          <w:divId w:val="1892379137"/>
        </w:trPr>
        <w:tc>
          <w:tcPr>
            <w:tcW w:w="732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C" w14:textId="491C785D">
            <w:pPr>
              <w:pStyle w:val="a3"/>
            </w:pPr>
            <w:r w:rsidRPr="00A12767">
              <w:t>Форма № 4-ПН «Інформація про заплановане масове вивільнення працівників у зв’язку із змінами в організації виробництва і праці»</w:t>
            </w:r>
            <w:r>
              <w:rPr>
                <w:rStyle w:val="a6"/>
                <w:vertAlign w:val="superscript"/>
              </w:rPr>
              <w:t>3</w:t>
            </w:r>
          </w:p>
        </w:tc>
        <w:tc>
          <w:tcPr>
            <w:tcW w:w="599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D" w14:textId="77777777">
            <w:pPr>
              <w:pStyle w:val="a3"/>
            </w:pPr>
            <w:r>
              <w:t xml:space="preserve">У разі запланованого масового вивільнення працівників на підставі за умовами, передбаченими </w:t>
            </w:r>
            <w:hyperlink w:tgtFrame="_blank" w:history="1" w:anchor="1f3fa06666" r:id="rId14">
              <w:r>
                <w:rPr>
                  <w:rStyle w:val="a4"/>
                </w:rPr>
                <w:t>статтями 48</w:t>
              </w:r>
            </w:hyperlink>
            <w:r>
              <w:t xml:space="preserve"> та</w:t>
            </w:r>
            <w:hyperlink w:tgtFrame="_blank" w:history="1" w:anchor="4af7390203" r:id="rId15">
              <w:r>
                <w:rPr>
                  <w:rStyle w:val="a4"/>
                </w:rPr>
                <w:t xml:space="preserve"> 50 Закону України «Про зайнятість населення»</w:t>
              </w:r>
            </w:hyperlink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E" w14:textId="77777777">
            <w:pPr>
              <w:pStyle w:val="a3"/>
            </w:pPr>
            <w:r>
              <w:t>Не пізніше ніж за два місяці до масового вивільнення працівників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0F" w14:textId="77777777">
            <w:pPr>
              <w:pStyle w:val="a3"/>
            </w:pPr>
            <w:r>
              <w:t>Підприємства, установи, організації</w:t>
            </w:r>
          </w:p>
        </w:tc>
        <w:tc>
          <w:tcPr>
            <w:tcW w:w="768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10" w14:textId="77777777">
            <w:pPr>
              <w:pStyle w:val="anchor"/>
            </w:pPr>
            <w:r>
              <w:t> За місцем провадження їх господарської діяльності — міським, районним і міськрайонним центрам зайнятості та філіям регіональних центрів зайнятості</w:t>
            </w:r>
          </w:p>
        </w:tc>
        <w:tc>
          <w:tcPr>
            <w:tcW w:w="937" w:type="pct"/>
            <w:gridSpan w:val="2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11" w14:textId="03AED4EA">
            <w:pPr>
              <w:pStyle w:val="a3"/>
            </w:pPr>
            <w:r>
              <w:br/>
            </w:r>
            <w:hyperlink w:tgtFrame="_blank" w:history="1" r:id="rId16">
              <w:r>
                <w:rPr>
                  <w:rStyle w:val="a4"/>
                </w:rPr>
                <w:t xml:space="preserve">Наказ </w:t>
              </w:r>
              <w:proofErr w:type="spellStart"/>
              <w:r>
                <w:rPr>
                  <w:rStyle w:val="a4"/>
                </w:rPr>
                <w:t>Мінсоцполітики</w:t>
              </w:r>
              <w:proofErr w:type="spellEnd"/>
              <w:r w:rsidR="00190B44">
                <w:rPr>
                  <w:rStyle w:val="a4"/>
                </w:rPr>
                <w:t xml:space="preserve"> </w:t>
              </w:r>
              <w:r>
                <w:rPr>
                  <w:rStyle w:val="a4"/>
                </w:rPr>
                <w:t>від 18.03.2021 № 563</w:t>
              </w:r>
            </w:hyperlink>
          </w:p>
        </w:tc>
        <w:tc>
          <w:tcPr>
            <w:tcW w:w="643" w:type="pct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12" w14:textId="77777777">
            <w:pPr>
              <w:pStyle w:val="a3"/>
            </w:pPr>
            <w:r>
              <w:t>Складає та подає в паперовому вигляді або в електронному вигляді з КЕП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A13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A1D" w14:textId="77777777">
        <w:trPr>
          <w:divId w:val="1892379137"/>
        </w:trPr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A15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A16" w14:textId="77777777"/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17" w14:textId="77777777">
            <w:pPr>
              <w:pStyle w:val="a3"/>
            </w:pPr>
            <w:r>
              <w:t xml:space="preserve">Не пізніше ніж за 30 к. д. до вивільнення у разі звільнення держслужбовців відповідно до </w:t>
            </w:r>
            <w:hyperlink w:tgtFrame="_blank" w:history="1" w:anchor="Text" r:id="rId17">
              <w:r>
                <w:rPr>
                  <w:rStyle w:val="a4"/>
                </w:rPr>
                <w:t>пунктів 1 та 1-1 частини першої статті 87 Закону України «Про державну службу»</w:t>
              </w:r>
            </w:hyperlink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18" w14:textId="77777777">
            <w:pPr>
              <w:pStyle w:val="a3"/>
            </w:pPr>
            <w:r>
              <w:t>Органи державної влади</w:t>
            </w:r>
          </w:p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A19" w14:textId="77777777"/>
        </w:tc>
        <w:tc>
          <w:tcPr>
            <w:tcW w:w="0" w:type="auto"/>
            <w:gridSpan w:val="2"/>
            <w:vMerge/>
            <w:tcBorders/>
            <w:tcMar/>
            <w:vAlign w:val="center"/>
            <w:hideMark/>
          </w:tcPr>
          <w:p w:rsidR="00D42352" w:rsidRDefault="00D42352" w14:paraId="2218AA1A" w14:textId="77777777"/>
        </w:tc>
        <w:tc>
          <w:tcPr>
            <w:tcW w:w="0" w:type="auto"/>
            <w:vMerge/>
            <w:tcBorders/>
            <w:tcMar/>
            <w:vAlign w:val="center"/>
            <w:hideMark/>
          </w:tcPr>
          <w:p w:rsidR="00D42352" w:rsidRDefault="00D42352" w14:paraId="2218AA1B" w14:textId="77777777"/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A1C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A26" w14:textId="77777777">
        <w:trPr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1E" w14:textId="5FB99F0A">
            <w:pPr>
              <w:pStyle w:val="a3"/>
            </w:pPr>
            <w:r>
              <w:t xml:space="preserve">Форма № 1-ПА </w:t>
            </w:r>
            <w:r w:rsidRPr="00A12767">
              <w:t xml:space="preserve">«Інформація про кількість </w:t>
            </w:r>
            <w:r w:rsidRPr="00A12767">
              <w:lastRenderedPageBreak/>
              <w:t>працевлаштованих громадян суб’єктами господарювання, які надають послуги з посередництва у працевлаштуванні»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1F" w14:textId="77777777">
            <w:pPr>
              <w:pStyle w:val="a3"/>
            </w:pPr>
            <w:r>
              <w:lastRenderedPageBreak/>
              <w:t>Щокварталу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0" w14:textId="77777777">
            <w:pPr>
              <w:pStyle w:val="a3"/>
            </w:pPr>
            <w:r>
              <w:t xml:space="preserve">Не пізніше 15-го числа після </w:t>
            </w:r>
            <w:r>
              <w:lastRenderedPageBreak/>
              <w:t>звітного кварталу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1" w14:textId="77777777">
            <w:pPr>
              <w:pStyle w:val="a3"/>
            </w:pPr>
            <w:r>
              <w:lastRenderedPageBreak/>
              <w:t xml:space="preserve">Юрособи та ФОП, які надають послуги з </w:t>
            </w:r>
            <w:r>
              <w:lastRenderedPageBreak/>
              <w:t>посередництва у працевлаштуванні в Україні, наймають працівників для подальшого виконання ними роботи в Україні в інших роботодавців, надають послуги з посередництва у працевлаштуванні за кордоном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2" w14:textId="77777777">
            <w:pPr>
              <w:pStyle w:val="a3"/>
            </w:pPr>
            <w:r>
              <w:lastRenderedPageBreak/>
              <w:t xml:space="preserve">До районних, міських, </w:t>
            </w:r>
            <w:r>
              <w:lastRenderedPageBreak/>
              <w:t>міськрайонних центрів зайнятості</w:t>
            </w:r>
          </w:p>
        </w:tc>
        <w:tc>
          <w:tcPr>
            <w:tcW w:w="937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3" w14:textId="13B7ED14">
            <w:pPr>
              <w:pStyle w:val="a3"/>
            </w:pPr>
            <w:hyperlink w:tgtFrame="_blank" w:history="1" r:id="rId18">
              <w:r>
                <w:rPr>
                  <w:rStyle w:val="a4"/>
                </w:rPr>
                <w:t xml:space="preserve">Наказ </w:t>
              </w:r>
              <w:proofErr w:type="spellStart"/>
              <w:r>
                <w:rPr>
                  <w:rStyle w:val="a4"/>
                </w:rPr>
                <w:t>Мінсоцполітики</w:t>
              </w:r>
              <w:proofErr w:type="spellEnd"/>
              <w:r w:rsidR="00BF0BA2">
                <w:rPr>
                  <w:rStyle w:val="a4"/>
                </w:rPr>
                <w:t xml:space="preserve"> </w:t>
              </w:r>
              <w:r>
                <w:rPr>
                  <w:rStyle w:val="a4"/>
                </w:rPr>
                <w:t>від 03.06.2019 № 851</w:t>
              </w:r>
            </w:hyperlink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4" w14:textId="77777777">
            <w:pPr>
              <w:pStyle w:val="a3"/>
            </w:pPr>
            <w:r>
              <w:t xml:space="preserve">Складає разом з бухгалтером, подає в </w:t>
            </w:r>
            <w:r>
              <w:lastRenderedPageBreak/>
              <w:t>паперовому або електронному вигляді з КЕП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A25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A29" w14:textId="77777777">
        <w:trPr>
          <w:divId w:val="1892379137"/>
        </w:trPr>
        <w:tc>
          <w:tcPr>
            <w:tcW w:w="5000" w:type="pct"/>
            <w:gridSpan w:val="8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7" w14:textId="77777777">
            <w:pPr>
              <w:pStyle w:val="a3"/>
            </w:pPr>
            <w:r>
              <w:rPr>
                <w:rStyle w:val="a6"/>
              </w:rPr>
              <w:t>До територіального центру комплектування та соціальної підтримки (ТЦК)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A28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A32" w14:textId="77777777">
        <w:trPr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A" w14:textId="675840D9">
            <w:pPr>
              <w:pStyle w:val="a3"/>
            </w:pPr>
            <w:r w:rsidRPr="00A12767">
              <w:t>Список громадян 200</w:t>
            </w:r>
            <w:r w:rsidRPr="00A12767" w:rsidR="00D83D0A">
              <w:t>8</w:t>
            </w:r>
            <w:r w:rsidRPr="00A12767">
              <w:t xml:space="preserve"> року народження, які підлягають приписці до призовних дільниць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B" w14:textId="77777777">
            <w:pPr>
              <w:pStyle w:val="a3"/>
            </w:pPr>
            <w:r>
              <w:t>Щороку, якщо є такі працівники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C" w14:textId="6F214C52">
            <w:pPr>
              <w:pStyle w:val="anchor"/>
            </w:pPr>
            <w:r>
              <w:t>Не пізніше 01.12.202</w:t>
            </w:r>
            <w:r w:rsidR="009509E4">
              <w:t>4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2D" w14:textId="77777777">
            <w:pPr>
              <w:pStyle w:val="a3"/>
            </w:pPr>
            <w:r>
              <w:t>Підприємства, установи, організації і навчальні заклади незалежно від підпорядкування і форм власності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D92D00" w14:paraId="2218AA2E" w14:textId="3DA76966">
            <w:pPr>
              <w:pStyle w:val="anchor"/>
            </w:pPr>
            <w:r w:rsidR="4811FF00">
              <w:rPr/>
              <w:t xml:space="preserve">До ТЦК, </w:t>
            </w:r>
            <w:r w:rsidR="4811FF00">
              <w:rPr/>
              <w:t xml:space="preserve">в зоні комплектування якого перебуває підприємство або за задекларованим (зареєстрованим) місцем  проживання кожного допризовника </w:t>
            </w:r>
          </w:p>
        </w:tc>
        <w:tc>
          <w:tcPr>
            <w:tcW w:w="937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9C46AA" w14:paraId="2218AA2F" w14:textId="03752F08">
            <w:pPr>
              <w:pStyle w:val="anchor"/>
            </w:pPr>
            <w:hyperlink w:tgtFrame="_blank" w:history="1" w:anchor="50ad170221" r:id="rId20">
              <w:r>
                <w:rPr>
                  <w:rStyle w:val="a4"/>
                </w:rPr>
                <w:t>Додаток 6</w:t>
              </w:r>
            </w:hyperlink>
            <w:r>
              <w:br/>
            </w:r>
            <w:hyperlink w:tgtFrame="_blank" w:history="1" w:anchor="50ad170221" r:id="rId21">
              <w:r>
                <w:rPr>
                  <w:rStyle w:val="a4"/>
                </w:rPr>
                <w:t>до Порядку організації та ведення військового обліку призовників, військовозобов’язаних та резервістів</w:t>
              </w:r>
            </w:hyperlink>
            <w:r>
              <w:t>, затвердженого постановою КМУ від 30.12.2022 № 1487</w:t>
            </w:r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30" w14:textId="6E4862DC">
            <w:pPr>
              <w:pStyle w:val="a3"/>
            </w:pPr>
            <w:r w:rsidR="4811FF00">
              <w:rPr/>
              <w:t xml:space="preserve">Складає та </w:t>
            </w:r>
            <w:r w:rsidR="4811FF00">
              <w:rPr/>
              <w:t>подає в паперовій формі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A31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352" w:rsidTr="6B76E9F3" w14:paraId="2218AA3C" w14:textId="77777777">
        <w:trPr>
          <w:divId w:val="1892379137"/>
        </w:trPr>
        <w:tc>
          <w:tcPr>
            <w:tcW w:w="73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33" w14:textId="448CE239">
            <w:pPr>
              <w:pStyle w:val="a3"/>
            </w:pPr>
            <w:r w:rsidRPr="00A12767">
              <w:lastRenderedPageBreak/>
              <w:t>Відомість про наявність і технічний стан транспортних засобів і техніки, а також про громадян, які працюють на підприємстві, в установі та організації на таких транспортних засобах і техніці, станом на __ _______ 202</w:t>
            </w:r>
            <w:r w:rsidRPr="00A12767" w:rsidR="009C46AA">
              <w:t>4</w:t>
            </w:r>
            <w:r w:rsidRPr="00A12767">
              <w:t xml:space="preserve"> р</w:t>
            </w:r>
            <w:r>
              <w:t>.</w:t>
            </w:r>
          </w:p>
        </w:tc>
        <w:tc>
          <w:tcPr>
            <w:tcW w:w="599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34" w14:textId="77777777">
            <w:pPr>
              <w:pStyle w:val="a3"/>
            </w:pPr>
            <w:r>
              <w:t>Двічі на рік</w:t>
            </w:r>
          </w:p>
        </w:tc>
        <w:tc>
          <w:tcPr>
            <w:tcW w:w="626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35" w14:textId="5F6E6DD5">
            <w:pPr>
              <w:pStyle w:val="a3"/>
            </w:pPr>
            <w:r>
              <w:t>До 20.06.202</w:t>
            </w:r>
            <w:r w:rsidR="00AD507F">
              <w:t>4</w:t>
            </w:r>
            <w:r>
              <w:t xml:space="preserve"> та 20.12.202</w:t>
            </w:r>
            <w:r w:rsidR="00AD507F">
              <w:t>4</w:t>
            </w:r>
          </w:p>
        </w:tc>
        <w:tc>
          <w:tcPr>
            <w:tcW w:w="692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36" w14:textId="4AAF08B8">
            <w:pPr>
              <w:pStyle w:val="a3"/>
            </w:pPr>
            <w:r w:rsidR="02E4D30B">
              <w:rPr/>
              <w:t>Підприємства, установи та організації незалежно від форми власності</w:t>
            </w:r>
          </w:p>
        </w:tc>
        <w:tc>
          <w:tcPr>
            <w:tcW w:w="768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37" w14:textId="77777777">
            <w:pPr>
              <w:pStyle w:val="a3"/>
            </w:pPr>
            <w:r>
              <w:t>До ТЦК за місцем знаходження</w:t>
            </w:r>
          </w:p>
        </w:tc>
        <w:tc>
          <w:tcPr>
            <w:tcW w:w="937" w:type="pct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D0E32" w14:paraId="2218AA38" w14:textId="1A4026E4">
            <w:pPr>
              <w:pStyle w:val="a3"/>
            </w:pPr>
            <w:r>
              <w:rPr>
                <w:color w:val="333333"/>
                <w:shd w:val="clear" w:color="auto" w:fill="FFFFFF"/>
              </w:rPr>
              <w:t xml:space="preserve">Додаток 1 до Положення </w:t>
            </w:r>
            <w:r w:rsidRPr="00611C64">
              <w:t>про військово-транспортний обов'язок</w:t>
            </w:r>
            <w:r>
              <w:t xml:space="preserve">, затвердженого </w:t>
            </w:r>
            <w:hyperlink w:tgtFrame="_blank" w:history="1" w:anchor="59d4b250b1" r:id="rId23">
              <w:r>
                <w:rPr>
                  <w:rStyle w:val="a4"/>
                </w:rPr>
                <w:t>п</w:t>
              </w:r>
              <w:r w:rsidR="00C53BF3">
                <w:rPr>
                  <w:rStyle w:val="a4"/>
                </w:rPr>
                <w:t>останов</w:t>
              </w:r>
              <w:r>
                <w:rPr>
                  <w:rStyle w:val="a4"/>
                </w:rPr>
                <w:t>ою</w:t>
              </w:r>
              <w:r w:rsidR="00C53BF3">
                <w:rPr>
                  <w:rStyle w:val="a4"/>
                </w:rPr>
                <w:t xml:space="preserve"> КМУ від 28.12.2000 № 1921</w:t>
              </w:r>
            </w:hyperlink>
          </w:p>
        </w:tc>
        <w:tc>
          <w:tcPr>
            <w:tcW w:w="643" w:type="pc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D42352" w:rsidRDefault="00C53BF3" w14:paraId="2218AA39" w14:textId="6998D14E">
            <w:pPr>
              <w:pStyle w:val="a3"/>
            </w:pPr>
            <w:r>
              <w:t>Бере участь</w:t>
            </w:r>
            <w:r w:rsidR="00A5084D">
              <w:t xml:space="preserve"> у підготовці</w:t>
            </w:r>
            <w:r>
              <w:t>.</w:t>
            </w:r>
          </w:p>
          <w:p w:rsidR="00D42352" w:rsidRDefault="00000000" w14:paraId="2218AA3A" w14:textId="070D7B3B">
            <w:pPr>
              <w:pStyle w:val="a3"/>
            </w:pPr>
            <w:r w:rsidR="4811FF00">
              <w:rPr/>
              <w:t>Подають</w:t>
            </w:r>
            <w:r w:rsidR="4811FF00">
              <w:rPr/>
              <w:t xml:space="preserve"> у паперовому вигляді</w:t>
            </w:r>
          </w:p>
        </w:tc>
        <w:tc>
          <w:tcPr>
            <w:tcW w:w="0" w:type="auto"/>
            <w:tcMar/>
            <w:vAlign w:val="center"/>
            <w:hideMark/>
          </w:tcPr>
          <w:p w:rsidR="00D42352" w:rsidRDefault="00D42352" w14:paraId="2218AA3B" w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42352" w:rsidRDefault="00C53BF3" w14:paraId="2218AA3D" w14:textId="77777777">
      <w:pPr>
        <w:pStyle w:val="anchor"/>
        <w:divId w:val="1892379137"/>
      </w:pPr>
      <w:r>
        <w:rPr>
          <w:rStyle w:val="a6"/>
          <w:vertAlign w:val="superscript"/>
        </w:rPr>
        <w:t>[1]</w:t>
      </w:r>
      <w:r>
        <w:t xml:space="preserve"> Повідомлення про прийняття на роботу не подають на члена виконавчого органу господарського товариства, керівника підприємства, установи, організації.</w:t>
      </w:r>
    </w:p>
    <w:p w:rsidR="00D42352" w:rsidRDefault="00C53BF3" w14:paraId="2218AA3E" w14:textId="5FE95447">
      <w:pPr>
        <w:pStyle w:val="anchor"/>
        <w:divId w:val="1892379137"/>
      </w:pPr>
      <w:r>
        <w:rPr>
          <w:rStyle w:val="a6"/>
          <w:vertAlign w:val="superscript"/>
        </w:rPr>
        <w:t>[2]</w:t>
      </w:r>
      <w:r>
        <w:rPr>
          <w:rStyle w:val="a6"/>
        </w:rPr>
        <w:t xml:space="preserve"> </w:t>
      </w:r>
      <w:r>
        <w:t xml:space="preserve">Подають </w:t>
      </w:r>
      <w:r w:rsidR="009C46AA">
        <w:t xml:space="preserve">виключно </w:t>
      </w:r>
      <w:r>
        <w:t>в електронному вигляді через Кабінет респондента на сайті Держстату. </w:t>
      </w:r>
    </w:p>
    <w:p w:rsidR="00D42352" w:rsidRDefault="00C53BF3" w14:paraId="2218AA3F" w14:textId="77777777">
      <w:pPr>
        <w:pStyle w:val="anchor"/>
        <w:divId w:val="1892379137"/>
      </w:pPr>
      <w:r>
        <w:rPr>
          <w:rStyle w:val="a6"/>
          <w:vertAlign w:val="superscript"/>
        </w:rPr>
        <w:t>[3]</w:t>
      </w:r>
      <w:r>
        <w:t xml:space="preserve"> Можна подати через Електронний кабінет роботодавця на </w:t>
      </w:r>
      <w:hyperlink w:tgtFrame="_blank" w:history="1" r:id="rId25">
        <w:r>
          <w:rPr>
            <w:rStyle w:val="a4"/>
          </w:rPr>
          <w:t>сайті Державного центру зайнятості</w:t>
        </w:r>
      </w:hyperlink>
      <w:r>
        <w:t>.</w:t>
      </w:r>
    </w:p>
    <w:p w:rsidR="00D42352" w:rsidRDefault="00C53BF3" w14:paraId="2218AA40" w14:textId="77777777">
      <w:pPr>
        <w:pStyle w:val="a3"/>
      </w:pPr>
      <w:r>
        <w:t> </w:t>
      </w:r>
    </w:p>
    <w:p w:rsidRPr="00A12767" w:rsidR="004A60F0" w:rsidRDefault="004A60F0" w14:paraId="2218AA43" w14:textId="74E7C920">
      <w:pPr>
        <w:divId w:val="1644236900"/>
        <w:rPr>
          <w:rFonts w:eastAsia="Times New Roman"/>
          <w:lang w:val="en-US"/>
        </w:rPr>
      </w:pPr>
    </w:p>
    <w:sectPr w:rsidRPr="00A12767" w:rsidR="004A60F0" w:rsidSect="00A12767">
      <w:headerReference w:type="default" r:id="rId26"/>
      <w:footerReference w:type="default" r:id="rId27"/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12B9" w:rsidP="00A12767" w:rsidRDefault="00AE12B9" w14:paraId="450802ED" w14:textId="77777777">
      <w:r>
        <w:separator/>
      </w:r>
    </w:p>
  </w:endnote>
  <w:endnote w:type="continuationSeparator" w:id="0">
    <w:p w:rsidR="00AE12B9" w:rsidP="00A12767" w:rsidRDefault="00AE12B9" w14:paraId="42267C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22F41" w:rsidR="00A12767" w:rsidP="00822F41" w:rsidRDefault="00A12767" w14:paraId="4490E7D3" w14:textId="77777777">
    <w:pPr>
      <w:pStyle w:val="af0"/>
      <w:rPr>
        <w:lang w:val="en-US"/>
      </w:rPr>
    </w:pPr>
    <w:r w:rsidRPr="00822F41">
      <w:rPr>
        <w:lang w:val="en-US"/>
      </w:rPr>
      <w:t>school.prokadry.com.ua</w:t>
    </w:r>
  </w:p>
  <w:p w:rsidRPr="00822F41" w:rsidR="00A12767" w:rsidP="00822F41" w:rsidRDefault="00A12767" w14:paraId="061A5675" w14:textId="77777777">
    <w:pPr>
      <w:pStyle w:val="af0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:rsidR="00A12767" w:rsidRDefault="00A12767" w14:paraId="3C05F43F" w14:textId="47E5310B">
    <w:pPr>
      <w:pStyle w:val="af0"/>
    </w:pPr>
    <w: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12B9" w:rsidP="00A12767" w:rsidRDefault="00AE12B9" w14:paraId="6403DAAB" w14:textId="77777777">
      <w:r>
        <w:separator/>
      </w:r>
    </w:p>
  </w:footnote>
  <w:footnote w:type="continuationSeparator" w:id="0">
    <w:p w:rsidR="00AE12B9" w:rsidP="00A12767" w:rsidRDefault="00AE12B9" w14:paraId="36024C8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12767" w:rsidRDefault="00A12767" w14:paraId="0524F6A2" w14:textId="79739C21">
    <w:pPr>
      <w:pStyle w:val="ae"/>
    </w:pPr>
    <w:r w:rsidRPr="00E3058D">
      <w:rPr>
        <w:noProof/>
      </w:rPr>
      <w:drawing>
        <wp:inline distT="0" distB="0" distL="0" distR="0" wp14:anchorId="6339840A" wp14:editId="308B5CC2">
          <wp:extent cx="1517650" cy="508000"/>
          <wp:effectExtent l="0" t="0" r="6350" b="635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5176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BA"/>
    <w:rsid w:val="000842A0"/>
    <w:rsid w:val="001358BA"/>
    <w:rsid w:val="00190B44"/>
    <w:rsid w:val="0033190C"/>
    <w:rsid w:val="00371BC1"/>
    <w:rsid w:val="004201B3"/>
    <w:rsid w:val="00447163"/>
    <w:rsid w:val="004A60F0"/>
    <w:rsid w:val="0061356C"/>
    <w:rsid w:val="006821E1"/>
    <w:rsid w:val="00694313"/>
    <w:rsid w:val="007D3DBA"/>
    <w:rsid w:val="008035A3"/>
    <w:rsid w:val="008C1779"/>
    <w:rsid w:val="009509E4"/>
    <w:rsid w:val="009B5C3C"/>
    <w:rsid w:val="009C46AA"/>
    <w:rsid w:val="009F1599"/>
    <w:rsid w:val="00A12767"/>
    <w:rsid w:val="00A5084D"/>
    <w:rsid w:val="00AD507F"/>
    <w:rsid w:val="00AE12B9"/>
    <w:rsid w:val="00B51903"/>
    <w:rsid w:val="00B77A75"/>
    <w:rsid w:val="00BF0BA2"/>
    <w:rsid w:val="00C53BF3"/>
    <w:rsid w:val="00C82E23"/>
    <w:rsid w:val="00CC6ACC"/>
    <w:rsid w:val="00CD0E32"/>
    <w:rsid w:val="00CD5D25"/>
    <w:rsid w:val="00D42352"/>
    <w:rsid w:val="00D83D0A"/>
    <w:rsid w:val="00D92D00"/>
    <w:rsid w:val="00DA12FC"/>
    <w:rsid w:val="00DF0624"/>
    <w:rsid w:val="00E90C35"/>
    <w:rsid w:val="00EB6A4D"/>
    <w:rsid w:val="00F3277B"/>
    <w:rsid w:val="00F74131"/>
    <w:rsid w:val="00FD2223"/>
    <w:rsid w:val="00FE1BAF"/>
    <w:rsid w:val="02E4D30B"/>
    <w:rsid w:val="4811FF00"/>
    <w:rsid w:val="6B76E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18A992"/>
  <w15:chartTrackingRefBased/>
  <w15:docId w15:val="{1877D19C-FF34-480A-A4A7-DFE5A732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msonormal0" w:customStyle="1">
    <w:name w:val="msonormal"/>
    <w:basedOn w:val="a"/>
    <w:pPr>
      <w:spacing w:before="100" w:beforeAutospacing="1" w:after="100" w:afterAutospacing="1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nchor" w:customStyle="1">
    <w:name w:val="anchor"/>
    <w:basedOn w:val="a"/>
    <w:pPr>
      <w:spacing w:before="100" w:beforeAutospacing="1" w:after="100" w:afterAutospacing="1"/>
    </w:pPr>
  </w:style>
  <w:style w:type="character" w:styleId="anchor-target" w:customStyle="1">
    <w:name w:val="anchor-target"/>
    <w:basedOn w:val="a0"/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Revision"/>
    <w:hidden/>
    <w:uiPriority w:val="99"/>
    <w:semiHidden/>
    <w:rsid w:val="007D3DBA"/>
    <w:rPr>
      <w:rFonts w:eastAsiaTheme="minorEastAsia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8035A3"/>
    <w:rPr>
      <w:color w:val="605E5C"/>
      <w:shd w:val="clear" w:color="auto" w:fill="E1DFDD"/>
    </w:rPr>
  </w:style>
  <w:style w:type="paragraph" w:styleId="11" w:customStyle="1">
    <w:name w:val="Знак1 Знак Знак"/>
    <w:basedOn w:val="a"/>
    <w:rsid w:val="00B77A75"/>
    <w:pPr>
      <w:spacing w:after="160" w:line="240" w:lineRule="exact"/>
      <w:jc w:val="both"/>
    </w:pPr>
    <w:rPr>
      <w:rFonts w:ascii="Tahoma" w:hAnsi="Tahoma" w:eastAsia="Times New Roman"/>
      <w:b/>
      <w:szCs w:val="20"/>
      <w:lang w:val="en-US" w:eastAsia="en-US"/>
    </w:rPr>
  </w:style>
  <w:style w:type="character" w:styleId="a9">
    <w:name w:val="annotation reference"/>
    <w:basedOn w:val="a0"/>
    <w:uiPriority w:val="99"/>
    <w:semiHidden/>
    <w:unhideWhenUsed/>
    <w:rsid w:val="00DA12F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A12FC"/>
    <w:rPr>
      <w:sz w:val="20"/>
      <w:szCs w:val="20"/>
    </w:rPr>
  </w:style>
  <w:style w:type="character" w:styleId="ab" w:customStyle="1">
    <w:name w:val="Текст примечания Знак"/>
    <w:basedOn w:val="a0"/>
    <w:link w:val="aa"/>
    <w:uiPriority w:val="99"/>
    <w:semiHidden/>
    <w:rsid w:val="00DA12FC"/>
    <w:rPr>
      <w:rFonts w:eastAsiaTheme="minorEastAsi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A12FC"/>
    <w:rPr>
      <w:b/>
      <w:bCs/>
    </w:rPr>
  </w:style>
  <w:style w:type="character" w:styleId="ad" w:customStyle="1">
    <w:name w:val="Тема примечания Знак"/>
    <w:basedOn w:val="ab"/>
    <w:link w:val="ac"/>
    <w:uiPriority w:val="99"/>
    <w:semiHidden/>
    <w:rsid w:val="00DA12FC"/>
    <w:rPr>
      <w:rFonts w:eastAsiaTheme="minorEastAsia"/>
      <w:b/>
      <w:bCs/>
    </w:rPr>
  </w:style>
  <w:style w:type="paragraph" w:styleId="ae">
    <w:name w:val="header"/>
    <w:basedOn w:val="a"/>
    <w:link w:val="af"/>
    <w:uiPriority w:val="99"/>
    <w:unhideWhenUsed/>
    <w:rsid w:val="00A12767"/>
    <w:pPr>
      <w:tabs>
        <w:tab w:val="center" w:pos="4677"/>
        <w:tab w:val="right" w:pos="9355"/>
      </w:tabs>
    </w:pPr>
  </w:style>
  <w:style w:type="character" w:styleId="af" w:customStyle="1">
    <w:name w:val="Верхний колонтитул Знак"/>
    <w:basedOn w:val="a0"/>
    <w:link w:val="ae"/>
    <w:uiPriority w:val="99"/>
    <w:rsid w:val="00A12767"/>
    <w:rPr>
      <w:rFonts w:eastAsiaTheme="minorEastAsia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A12767"/>
    <w:pPr>
      <w:tabs>
        <w:tab w:val="center" w:pos="4677"/>
        <w:tab w:val="right" w:pos="9355"/>
      </w:tabs>
    </w:pPr>
  </w:style>
  <w:style w:type="character" w:styleId="af1" w:customStyle="1">
    <w:name w:val="Нижний колонтитул Знак"/>
    <w:basedOn w:val="a0"/>
    <w:link w:val="af0"/>
    <w:uiPriority w:val="99"/>
    <w:rsid w:val="00A12767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2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k.expertus.com.ua/law/10422" TargetMode="External" Id="rId8" /><Relationship Type="http://schemas.openxmlformats.org/officeDocument/2006/relationships/hyperlink" Target="https://ek.expertus.com.ua/law/10010" TargetMode="External" Id="rId13" /><Relationship Type="http://schemas.openxmlformats.org/officeDocument/2006/relationships/hyperlink" Target="https://ek.expertus.com.ua/law/10108" TargetMode="External" Id="rId18" /><Relationship Type="http://schemas.openxmlformats.org/officeDocument/2006/relationships/header" Target="header1.xml" Id="rId26" /><Relationship Type="http://schemas.openxmlformats.org/officeDocument/2006/relationships/styles" Target="styles.xml" Id="rId3" /><Relationship Type="http://schemas.openxmlformats.org/officeDocument/2006/relationships/hyperlink" Target="https://ek.expertus.com.ua//law/16532?top=1" TargetMode="External" Id="rId21" /><Relationship Type="http://schemas.openxmlformats.org/officeDocument/2006/relationships/endnotes" Target="endnotes.xml" Id="rId7" /><Relationship Type="http://schemas.openxmlformats.org/officeDocument/2006/relationships/hyperlink" Target="https://ek.expertus.com.ua/laws/21229" TargetMode="External" Id="rId12" /><Relationship Type="http://schemas.openxmlformats.org/officeDocument/2006/relationships/hyperlink" Target="https://zakon.rada.gov.ua/laws/show/889-19" TargetMode="External" Id="rId17" /><Relationship Type="http://schemas.openxmlformats.org/officeDocument/2006/relationships/hyperlink" Target="https://dcz.gov.ua/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ek.expertus.com.ua/law/10543" TargetMode="External" Id="rId16" /><Relationship Type="http://schemas.openxmlformats.org/officeDocument/2006/relationships/hyperlink" Target="https://ek.expertus.com.ua//law/16532?top=1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ek.expertus.com.ua/laws/13876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ek.expertus.com.ua/law/10381" TargetMode="External" Id="rId15" /><Relationship Type="http://schemas.openxmlformats.org/officeDocument/2006/relationships/hyperlink" Target="https://ek.expertus.com.ua/laws/22590" TargetMode="External" Id="rId23" /><Relationship Type="http://schemas.openxmlformats.org/officeDocument/2006/relationships/fontTable" Target="fontTable.xml" Id="rId28" /><Relationship Type="http://schemas.openxmlformats.org/officeDocument/2006/relationships/hyperlink" Target="https://ek.expertus.com.ua/laws/21229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ek.expertus.com.ua/laws/13876" TargetMode="External" Id="rId9" /><Relationship Type="http://schemas.openxmlformats.org/officeDocument/2006/relationships/hyperlink" Target="https://ek.expertus.com.ua/law/10381" TargetMode="External" Id="rId14" /><Relationship Type="http://schemas.openxmlformats.org/officeDocument/2006/relationships/footer" Target="footer1.xml" Id="rId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B308DFD1B69845BD5B70CA9D1525D9" ma:contentTypeVersion="14" ma:contentTypeDescription="Створення нового документа." ma:contentTypeScope="" ma:versionID="454d7c5dd903126dafd8d851931bbec8">
  <xsd:schema xmlns:xsd="http://www.w3.org/2001/XMLSchema" xmlns:xs="http://www.w3.org/2001/XMLSchema" xmlns:p="http://schemas.microsoft.com/office/2006/metadata/properties" xmlns:ns2="da7d07d7-5145-4ed6-99e4-26d0809d42f9" xmlns:ns3="5b7e80e6-8821-4be9-8917-c0ee21c1c9c7" targetNamespace="http://schemas.microsoft.com/office/2006/metadata/properties" ma:root="true" ma:fieldsID="70199255d71e5d9c8cff53cbed634674" ns2:_="" ns3:_="">
    <xsd:import namespace="da7d07d7-5145-4ed6-99e4-26d0809d42f9"/>
    <xsd:import namespace="5b7e80e6-8821-4be9-8917-c0ee21c1c9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d07d7-5145-4ed6-99e4-26d0809d42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90df430-6475-4a1d-8646-ae46a32db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e80e6-8821-4be9-8917-c0ee21c1c9c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4202357-4221-450e-bc2b-29806c01b8e6}" ma:internalName="TaxCatchAll" ma:showField="CatchAllData" ma:web="5b7e80e6-8821-4be9-8917-c0ee21c1c9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1F46B6-C55B-439F-BE06-F4414C4D5C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727C33-B138-480E-A295-E9E8194D0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d07d7-5145-4ed6-99e4-26d0809d42f9"/>
    <ds:schemaRef ds:uri="5b7e80e6-8821-4be9-8917-c0ee21c1c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Export HTML To Doc</dc:title>
  <dc:subject/>
  <dc:creator>Олена Петровська</dc:creator>
  <keywords/>
  <dc:description/>
  <lastModifiedBy>MCFR MCFR</lastModifiedBy>
  <revision>6</revision>
  <dcterms:created xsi:type="dcterms:W3CDTF">2023-10-20T09:15:00.0000000Z</dcterms:created>
  <dcterms:modified xsi:type="dcterms:W3CDTF">2023-12-08T13:11:40.2810205Z</dcterms:modified>
</coreProperties>
</file>