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32" w:type="pct"/>
        <w:tblInd w:w="-4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4"/>
        <w:gridCol w:w="1408"/>
      </w:tblGrid>
      <w:tr w:rsidR="00DB352F" w:rsidRPr="00DB352F" w14:paraId="69EA3176" w14:textId="77777777" w:rsidTr="00DB352F">
        <w:trPr>
          <w:trHeight w:val="477"/>
        </w:trPr>
        <w:tc>
          <w:tcPr>
            <w:tcW w:w="8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A1301" w14:textId="77777777" w:rsidR="00DB352F" w:rsidRPr="00DB352F" w:rsidRDefault="00DB352F" w:rsidP="00BD6CA9">
            <w:pPr>
              <w:pStyle w:val="anchor"/>
              <w:jc w:val="center"/>
              <w:rPr>
                <w:sz w:val="22"/>
                <w:szCs w:val="22"/>
              </w:rPr>
            </w:pPr>
            <w:r w:rsidRPr="00DB352F">
              <w:rPr>
                <w:b/>
                <w:bCs/>
                <w:sz w:val="22"/>
                <w:szCs w:val="22"/>
              </w:rPr>
              <w:t>Підстава звільнення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7CEED" w14:textId="77777777" w:rsidR="00DB352F" w:rsidRPr="00DB352F" w:rsidRDefault="00DB352F" w:rsidP="00BD6CA9">
            <w:pPr>
              <w:pStyle w:val="anchor"/>
              <w:jc w:val="center"/>
              <w:rPr>
                <w:sz w:val="22"/>
                <w:szCs w:val="22"/>
              </w:rPr>
            </w:pPr>
            <w:r w:rsidRPr="00DB352F">
              <w:rPr>
                <w:b/>
                <w:bCs/>
                <w:sz w:val="22"/>
                <w:szCs w:val="22"/>
              </w:rPr>
              <w:t>Норма КЗпП</w:t>
            </w:r>
          </w:p>
        </w:tc>
      </w:tr>
      <w:tr w:rsidR="00DB352F" w:rsidRPr="00DB352F" w14:paraId="024D689A" w14:textId="77777777" w:rsidTr="00DB352F">
        <w:trPr>
          <w:trHeight w:val="372"/>
        </w:trPr>
        <w:tc>
          <w:tcPr>
            <w:tcW w:w="8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87420" w14:textId="77777777" w:rsidR="00DB352F" w:rsidRPr="00DB352F" w:rsidRDefault="00DB352F" w:rsidP="00BD6CA9">
            <w:pPr>
              <w:pStyle w:val="anchor"/>
              <w:rPr>
                <w:sz w:val="22"/>
                <w:szCs w:val="22"/>
              </w:rPr>
            </w:pPr>
            <w:r w:rsidRPr="00DB352F">
              <w:rPr>
                <w:sz w:val="22"/>
                <w:szCs w:val="22"/>
              </w:rPr>
              <w:t>угода сторін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BDDEC" w14:textId="77777777" w:rsidR="00DB352F" w:rsidRPr="00DB352F" w:rsidRDefault="00DB352F" w:rsidP="00BD6CA9">
            <w:pPr>
              <w:pStyle w:val="anchor"/>
              <w:rPr>
                <w:sz w:val="22"/>
                <w:szCs w:val="22"/>
              </w:rPr>
            </w:pPr>
            <w:hyperlink r:id="rId6" w:anchor="8daac94382" w:tgtFrame="_blank" w:history="1">
              <w:r w:rsidRPr="00DB352F">
                <w:rPr>
                  <w:rStyle w:val="a3"/>
                  <w:sz w:val="22"/>
                  <w:szCs w:val="22"/>
                </w:rPr>
                <w:t>п. 1 ст. 36 КЗпП</w:t>
              </w:r>
            </w:hyperlink>
          </w:p>
        </w:tc>
      </w:tr>
      <w:tr w:rsidR="00DB352F" w:rsidRPr="00DB352F" w14:paraId="2BE86C97" w14:textId="77777777" w:rsidTr="00DB352F">
        <w:trPr>
          <w:trHeight w:val="945"/>
        </w:trPr>
        <w:tc>
          <w:tcPr>
            <w:tcW w:w="8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28275" w14:textId="77777777" w:rsidR="00DB352F" w:rsidRPr="00DB352F" w:rsidRDefault="00DB352F" w:rsidP="00BD6CA9">
            <w:pPr>
              <w:pStyle w:val="anchor"/>
              <w:rPr>
                <w:sz w:val="22"/>
                <w:szCs w:val="22"/>
              </w:rPr>
            </w:pPr>
            <w:r w:rsidRPr="00DB352F">
              <w:rPr>
                <w:sz w:val="22"/>
                <w:szCs w:val="22"/>
              </w:rPr>
              <w:t>закінчення строку трудового договору, окрім випадків, коли трудові відносини фактично тривають і жодна зі сторін не поставила вимогу про їх припинення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3AA48" w14:textId="77777777" w:rsidR="00DB352F" w:rsidRPr="00DB352F" w:rsidRDefault="00DB352F" w:rsidP="00BD6CA9">
            <w:pPr>
              <w:pStyle w:val="anchor"/>
              <w:rPr>
                <w:sz w:val="22"/>
                <w:szCs w:val="22"/>
              </w:rPr>
            </w:pPr>
            <w:hyperlink r:id="rId7" w:anchor="473a5a06ed" w:tgtFrame="_blank" w:history="1">
              <w:r w:rsidRPr="00DB352F">
                <w:rPr>
                  <w:rStyle w:val="a3"/>
                  <w:sz w:val="22"/>
                  <w:szCs w:val="22"/>
                </w:rPr>
                <w:t>п. 2 ст. 36 КЗпП</w:t>
              </w:r>
            </w:hyperlink>
          </w:p>
        </w:tc>
      </w:tr>
      <w:tr w:rsidR="00DB352F" w:rsidRPr="00DB352F" w14:paraId="68CF036C" w14:textId="77777777" w:rsidTr="00DB352F">
        <w:trPr>
          <w:trHeight w:val="1087"/>
        </w:trPr>
        <w:tc>
          <w:tcPr>
            <w:tcW w:w="8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AADEE" w14:textId="77777777" w:rsidR="00DB352F" w:rsidRPr="00DB352F" w:rsidRDefault="00DB352F" w:rsidP="00BD6CA9">
            <w:pPr>
              <w:pStyle w:val="anchor"/>
              <w:rPr>
                <w:sz w:val="22"/>
                <w:szCs w:val="22"/>
              </w:rPr>
            </w:pPr>
            <w:r w:rsidRPr="00DB352F">
              <w:rPr>
                <w:sz w:val="22"/>
                <w:szCs w:val="22"/>
              </w:rPr>
              <w:t xml:space="preserve">призов або вступ працівника або роботодавця — фізичної особи на військову службу, направлення на альтернативну (невійськову) службу, окрім випадків, коли за працівником зберігаються місце роботи, посада відповідно до </w:t>
            </w:r>
            <w:hyperlink r:id="rId8" w:anchor="eef72dab25" w:tgtFrame="_blank" w:history="1">
              <w:r w:rsidRPr="00DB352F">
                <w:rPr>
                  <w:rStyle w:val="a3"/>
                  <w:sz w:val="22"/>
                  <w:szCs w:val="22"/>
                </w:rPr>
                <w:t>частини третьої статті 119 КЗпП</w:t>
              </w:r>
            </w:hyperlink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F4B77" w14:textId="77777777" w:rsidR="00DB352F" w:rsidRPr="00DB352F" w:rsidRDefault="00DB352F" w:rsidP="00BD6CA9">
            <w:pPr>
              <w:pStyle w:val="anchor"/>
              <w:rPr>
                <w:sz w:val="22"/>
                <w:szCs w:val="22"/>
              </w:rPr>
            </w:pPr>
            <w:hyperlink r:id="rId9" w:anchor="1853efd517" w:tgtFrame="_blank" w:history="1">
              <w:r w:rsidRPr="00DB352F">
                <w:rPr>
                  <w:rStyle w:val="a3"/>
                  <w:sz w:val="22"/>
                  <w:szCs w:val="22"/>
                </w:rPr>
                <w:t>п. 3 ст. 36 КЗпП</w:t>
              </w:r>
            </w:hyperlink>
          </w:p>
        </w:tc>
      </w:tr>
      <w:tr w:rsidR="00DB352F" w:rsidRPr="00DB352F" w14:paraId="49013BBD" w14:textId="77777777" w:rsidTr="00DB352F">
        <w:trPr>
          <w:trHeight w:val="664"/>
        </w:trPr>
        <w:tc>
          <w:tcPr>
            <w:tcW w:w="8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3355A" w14:textId="77777777" w:rsidR="00DB352F" w:rsidRPr="00DB352F" w:rsidRDefault="00DB352F" w:rsidP="00BD6CA9">
            <w:pPr>
              <w:pStyle w:val="anchor"/>
              <w:rPr>
                <w:sz w:val="22"/>
                <w:szCs w:val="22"/>
              </w:rPr>
            </w:pPr>
            <w:r w:rsidRPr="00DB352F">
              <w:rPr>
                <w:sz w:val="22"/>
                <w:szCs w:val="22"/>
              </w:rPr>
              <w:t>переведення працівника, за його згодою, на інше підприємство, в установу, організацію або перехід на виборну посаду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2A5D9" w14:textId="77777777" w:rsidR="00DB352F" w:rsidRPr="00DB352F" w:rsidRDefault="00DB352F" w:rsidP="00BD6CA9">
            <w:pPr>
              <w:pStyle w:val="anchor"/>
              <w:rPr>
                <w:sz w:val="22"/>
                <w:szCs w:val="22"/>
              </w:rPr>
            </w:pPr>
            <w:hyperlink r:id="rId10" w:anchor="9342b78630" w:tgtFrame="_blank" w:history="1">
              <w:r w:rsidRPr="00DB352F">
                <w:rPr>
                  <w:rStyle w:val="a3"/>
                  <w:sz w:val="22"/>
                  <w:szCs w:val="22"/>
                </w:rPr>
                <w:t>п. 5 ст. 36 КЗпП</w:t>
              </w:r>
            </w:hyperlink>
          </w:p>
        </w:tc>
      </w:tr>
      <w:tr w:rsidR="00DB352F" w:rsidRPr="00DB352F" w14:paraId="16EAD407" w14:textId="77777777" w:rsidTr="00DB352F">
        <w:trPr>
          <w:trHeight w:val="801"/>
        </w:trPr>
        <w:tc>
          <w:tcPr>
            <w:tcW w:w="8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DAD8E" w14:textId="77777777" w:rsidR="00DB352F" w:rsidRPr="00DB352F" w:rsidRDefault="00DB352F" w:rsidP="00BD6CA9">
            <w:pPr>
              <w:pStyle w:val="anchor"/>
              <w:rPr>
                <w:sz w:val="22"/>
                <w:szCs w:val="22"/>
              </w:rPr>
            </w:pPr>
            <w:r w:rsidRPr="00DB352F">
              <w:rPr>
                <w:sz w:val="22"/>
                <w:szCs w:val="22"/>
              </w:rPr>
              <w:t>відмова працівника від переведення на роботу в іншу місцевість разом з підприємством, установою, організацією, а також відмова від продовження роботи у зв’язку зі зміною істотних умов праці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81001" w14:textId="77777777" w:rsidR="00DB352F" w:rsidRPr="00DB352F" w:rsidRDefault="00DB352F" w:rsidP="00BD6CA9">
            <w:pPr>
              <w:pStyle w:val="anchor"/>
              <w:rPr>
                <w:sz w:val="22"/>
                <w:szCs w:val="22"/>
              </w:rPr>
            </w:pPr>
            <w:hyperlink r:id="rId11" w:anchor="20c1e947f2" w:tgtFrame="_blank" w:history="1">
              <w:r w:rsidRPr="00DB352F">
                <w:rPr>
                  <w:rStyle w:val="a3"/>
                  <w:sz w:val="22"/>
                  <w:szCs w:val="22"/>
                </w:rPr>
                <w:t>п. 6 ст. 36 КЗпП</w:t>
              </w:r>
            </w:hyperlink>
          </w:p>
        </w:tc>
      </w:tr>
      <w:tr w:rsidR="00DB352F" w:rsidRPr="00DB352F" w14:paraId="6E7BE6F4" w14:textId="77777777" w:rsidTr="00DB352F">
        <w:trPr>
          <w:trHeight w:val="913"/>
        </w:trPr>
        <w:tc>
          <w:tcPr>
            <w:tcW w:w="8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4C5F7" w14:textId="77777777" w:rsidR="00DB352F" w:rsidRPr="00DB352F" w:rsidRDefault="00DB352F" w:rsidP="00BD6CA9">
            <w:pPr>
              <w:pStyle w:val="anchor"/>
              <w:rPr>
                <w:sz w:val="22"/>
                <w:szCs w:val="22"/>
              </w:rPr>
            </w:pPr>
            <w:r w:rsidRPr="00DB352F">
              <w:rPr>
                <w:sz w:val="22"/>
                <w:szCs w:val="22"/>
              </w:rPr>
              <w:t xml:space="preserve">набрання законної сили </w:t>
            </w:r>
            <w:proofErr w:type="spellStart"/>
            <w:r w:rsidRPr="00DB352F">
              <w:rPr>
                <w:sz w:val="22"/>
                <w:szCs w:val="22"/>
              </w:rPr>
              <w:t>вироком</w:t>
            </w:r>
            <w:proofErr w:type="spellEnd"/>
            <w:r w:rsidRPr="00DB352F">
              <w:rPr>
                <w:sz w:val="22"/>
                <w:szCs w:val="22"/>
              </w:rPr>
              <w:t xml:space="preserve"> суду, яким працівника засуджено (окрім випадків звільнення від відбування покарання з випробуванням) до позбавлення волі або до іншого покарання, яке виключає можливість продовження даної роботи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B8221" w14:textId="77777777" w:rsidR="00DB352F" w:rsidRPr="00DB352F" w:rsidRDefault="00DB352F" w:rsidP="00BD6CA9">
            <w:pPr>
              <w:pStyle w:val="anchor"/>
              <w:rPr>
                <w:sz w:val="22"/>
                <w:szCs w:val="22"/>
              </w:rPr>
            </w:pPr>
            <w:hyperlink r:id="rId12" w:anchor="df98ca2296" w:tgtFrame="_blank" w:history="1">
              <w:r w:rsidRPr="00DB352F">
                <w:rPr>
                  <w:rStyle w:val="a3"/>
                  <w:sz w:val="22"/>
                  <w:szCs w:val="22"/>
                </w:rPr>
                <w:t>п. 7 ст. 36 КЗпП</w:t>
              </w:r>
            </w:hyperlink>
          </w:p>
        </w:tc>
      </w:tr>
      <w:tr w:rsidR="00DB352F" w:rsidRPr="00DB352F" w14:paraId="55873D5E" w14:textId="77777777" w:rsidTr="00DB352F">
        <w:trPr>
          <w:trHeight w:val="1043"/>
        </w:trPr>
        <w:tc>
          <w:tcPr>
            <w:tcW w:w="8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81CF9" w14:textId="77777777" w:rsidR="00DB352F" w:rsidRPr="00DB352F" w:rsidRDefault="00DB352F" w:rsidP="00BD6CA9">
            <w:pPr>
              <w:pStyle w:val="anchor"/>
              <w:rPr>
                <w:sz w:val="22"/>
                <w:szCs w:val="22"/>
              </w:rPr>
            </w:pPr>
            <w:r w:rsidRPr="00DB352F">
              <w:rPr>
                <w:sz w:val="22"/>
                <w:szCs w:val="22"/>
              </w:rPr>
              <w:t>укладення трудового договору (контракту), всупереч вимогам Закону України «Про запобігання корупції», встановленим для осіб, які звільнилися або іншим чином припинили діяльність, пов’язану з виконанням функцій держави або місцевого самоврядування, протягом року з дня її припинення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C5074" w14:textId="77777777" w:rsidR="00DB352F" w:rsidRPr="00DB352F" w:rsidRDefault="00DB352F" w:rsidP="00BD6CA9">
            <w:pPr>
              <w:pStyle w:val="anchor"/>
              <w:rPr>
                <w:sz w:val="22"/>
                <w:szCs w:val="22"/>
              </w:rPr>
            </w:pPr>
            <w:hyperlink r:id="rId13" w:anchor="cb11d950ee" w:tgtFrame="_blank" w:history="1">
              <w:r w:rsidRPr="00DB352F">
                <w:rPr>
                  <w:rStyle w:val="a3"/>
                  <w:sz w:val="22"/>
                  <w:szCs w:val="22"/>
                </w:rPr>
                <w:t>п. 7-1 ст. 36 КЗпП</w:t>
              </w:r>
            </w:hyperlink>
          </w:p>
        </w:tc>
      </w:tr>
      <w:tr w:rsidR="00DB352F" w:rsidRPr="00DB352F" w14:paraId="15EDB7F7" w14:textId="77777777" w:rsidTr="00DB352F">
        <w:trPr>
          <w:trHeight w:val="464"/>
        </w:trPr>
        <w:tc>
          <w:tcPr>
            <w:tcW w:w="8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A2713" w14:textId="77777777" w:rsidR="00DB352F" w:rsidRPr="00DB352F" w:rsidRDefault="00DB352F" w:rsidP="00BD6CA9">
            <w:pPr>
              <w:pStyle w:val="anchor"/>
              <w:rPr>
                <w:sz w:val="22"/>
                <w:szCs w:val="22"/>
              </w:rPr>
            </w:pPr>
            <w:r w:rsidRPr="00DB352F">
              <w:rPr>
                <w:sz w:val="22"/>
                <w:szCs w:val="22"/>
              </w:rPr>
              <w:t>підстави, передбачені Законом України «Про очищення влади»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9DB44" w14:textId="77777777" w:rsidR="00DB352F" w:rsidRPr="00DB352F" w:rsidRDefault="00DB352F" w:rsidP="00BD6CA9">
            <w:pPr>
              <w:pStyle w:val="anchor"/>
              <w:rPr>
                <w:sz w:val="22"/>
                <w:szCs w:val="22"/>
              </w:rPr>
            </w:pPr>
            <w:hyperlink r:id="rId14" w:anchor="fbd854258d" w:tgtFrame="_blank" w:history="1">
              <w:r w:rsidRPr="00DB352F">
                <w:rPr>
                  <w:rStyle w:val="a3"/>
                  <w:sz w:val="22"/>
                  <w:szCs w:val="22"/>
                </w:rPr>
                <w:t>п. 7-2 ст. 36 КЗпП</w:t>
              </w:r>
            </w:hyperlink>
          </w:p>
        </w:tc>
      </w:tr>
      <w:tr w:rsidR="00DB352F" w:rsidRPr="00DB352F" w14:paraId="1EA46F88" w14:textId="77777777" w:rsidTr="00DB352F">
        <w:trPr>
          <w:trHeight w:val="997"/>
        </w:trPr>
        <w:tc>
          <w:tcPr>
            <w:tcW w:w="8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746BC" w14:textId="77777777" w:rsidR="00DB352F" w:rsidRPr="00DB352F" w:rsidRDefault="00DB352F" w:rsidP="00BD6CA9">
            <w:pPr>
              <w:pStyle w:val="anchor"/>
              <w:rPr>
                <w:sz w:val="22"/>
                <w:szCs w:val="22"/>
              </w:rPr>
            </w:pPr>
            <w:r w:rsidRPr="00DB352F">
              <w:rPr>
                <w:sz w:val="22"/>
                <w:szCs w:val="22"/>
              </w:rPr>
              <w:t xml:space="preserve">набрання законної сили рішенням суду про визнання необґрунтованими активів та їх стягнення в дохід держави стосовно особи, уповноваженої на виконання функцій держави або місцевого самоврядування, у передбачених </w:t>
            </w:r>
            <w:hyperlink r:id="rId15" w:anchor="17c354428a" w:tgtFrame="_blank" w:history="1">
              <w:r w:rsidRPr="00DB352F">
                <w:rPr>
                  <w:rStyle w:val="a3"/>
                  <w:sz w:val="22"/>
                  <w:szCs w:val="22"/>
                </w:rPr>
                <w:t>статтею 290 Цивільного процесуального кодексу України</w:t>
              </w:r>
            </w:hyperlink>
            <w:r w:rsidRPr="00DB352F">
              <w:rPr>
                <w:sz w:val="22"/>
                <w:szCs w:val="22"/>
              </w:rPr>
              <w:t xml:space="preserve"> випадках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1897E" w14:textId="77777777" w:rsidR="00DB352F" w:rsidRPr="00DB352F" w:rsidRDefault="00DB352F" w:rsidP="00BD6CA9">
            <w:pPr>
              <w:pStyle w:val="anchor"/>
              <w:rPr>
                <w:sz w:val="22"/>
                <w:szCs w:val="22"/>
              </w:rPr>
            </w:pPr>
            <w:hyperlink r:id="rId16" w:anchor="2bc92928a5" w:tgtFrame="_blank" w:history="1">
              <w:r w:rsidRPr="00DB352F">
                <w:rPr>
                  <w:rStyle w:val="a3"/>
                  <w:sz w:val="22"/>
                  <w:szCs w:val="22"/>
                </w:rPr>
                <w:t>п. 7-3 ст. 36 КЗпП</w:t>
              </w:r>
            </w:hyperlink>
          </w:p>
        </w:tc>
      </w:tr>
      <w:tr w:rsidR="00DB352F" w:rsidRPr="00DB352F" w14:paraId="614DF86F" w14:textId="77777777" w:rsidTr="00DB352F">
        <w:trPr>
          <w:trHeight w:val="560"/>
        </w:trPr>
        <w:tc>
          <w:tcPr>
            <w:tcW w:w="8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77632" w14:textId="77777777" w:rsidR="00DB352F" w:rsidRPr="00DB352F" w:rsidRDefault="00DB352F" w:rsidP="00BD6CA9">
            <w:pPr>
              <w:pStyle w:val="anchor"/>
              <w:rPr>
                <w:sz w:val="22"/>
                <w:szCs w:val="22"/>
              </w:rPr>
            </w:pPr>
            <w:r w:rsidRPr="00DB352F">
              <w:rPr>
                <w:sz w:val="22"/>
                <w:szCs w:val="22"/>
              </w:rPr>
              <w:t>передбачені трудовим договором з нефіксованим робочим часом, контрактом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E2213" w14:textId="77777777" w:rsidR="00DB352F" w:rsidRPr="00DB352F" w:rsidRDefault="00DB352F" w:rsidP="00BD6CA9">
            <w:pPr>
              <w:pStyle w:val="anchor"/>
              <w:rPr>
                <w:sz w:val="22"/>
                <w:szCs w:val="22"/>
              </w:rPr>
            </w:pPr>
            <w:hyperlink r:id="rId17" w:anchor="cebf3f5866" w:tgtFrame="_blank" w:history="1">
              <w:r w:rsidRPr="00DB352F">
                <w:rPr>
                  <w:rStyle w:val="a3"/>
                  <w:sz w:val="22"/>
                  <w:szCs w:val="22"/>
                </w:rPr>
                <w:t>п. 8 ст. 36 КЗпП</w:t>
              </w:r>
            </w:hyperlink>
          </w:p>
        </w:tc>
      </w:tr>
      <w:tr w:rsidR="00DB352F" w:rsidRPr="00DB352F" w14:paraId="2179045D" w14:textId="77777777" w:rsidTr="00DB352F">
        <w:trPr>
          <w:trHeight w:val="795"/>
        </w:trPr>
        <w:tc>
          <w:tcPr>
            <w:tcW w:w="8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0A9BF" w14:textId="77777777" w:rsidR="00DB352F" w:rsidRPr="00DB352F" w:rsidRDefault="00DB352F" w:rsidP="00BD6CA9">
            <w:pPr>
              <w:pStyle w:val="anchor"/>
              <w:rPr>
                <w:sz w:val="22"/>
                <w:szCs w:val="22"/>
              </w:rPr>
            </w:pPr>
            <w:r w:rsidRPr="00DB352F">
              <w:rPr>
                <w:sz w:val="22"/>
                <w:szCs w:val="22"/>
              </w:rPr>
              <w:t>смерть роботодавця-фізичної особи або набрання законної сили рішенням суду про визнання такої фізичної особи безвісно відсутньою чи про оголошення її померлою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CBBAF" w14:textId="77777777" w:rsidR="00DB352F" w:rsidRPr="00DB352F" w:rsidRDefault="00DB352F" w:rsidP="00BD6CA9">
            <w:pPr>
              <w:pStyle w:val="anchor"/>
              <w:rPr>
                <w:sz w:val="22"/>
                <w:szCs w:val="22"/>
              </w:rPr>
            </w:pPr>
            <w:hyperlink r:id="rId18" w:anchor="81c4f290ab" w:tgtFrame="_blank" w:history="1">
              <w:r w:rsidRPr="00DB352F">
                <w:rPr>
                  <w:rStyle w:val="a3"/>
                  <w:sz w:val="22"/>
                  <w:szCs w:val="22"/>
                </w:rPr>
                <w:t>п. 8-1 ст. 36 КЗпП</w:t>
              </w:r>
            </w:hyperlink>
          </w:p>
        </w:tc>
      </w:tr>
      <w:tr w:rsidR="00DB352F" w:rsidRPr="00DB352F" w14:paraId="528B3CF1" w14:textId="77777777" w:rsidTr="00DB352F">
        <w:trPr>
          <w:trHeight w:val="668"/>
        </w:trPr>
        <w:tc>
          <w:tcPr>
            <w:tcW w:w="8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92AD1" w14:textId="77777777" w:rsidR="00DB352F" w:rsidRPr="00DB352F" w:rsidRDefault="00DB352F" w:rsidP="00BD6CA9">
            <w:pPr>
              <w:pStyle w:val="anchor"/>
              <w:rPr>
                <w:sz w:val="22"/>
                <w:szCs w:val="22"/>
              </w:rPr>
            </w:pPr>
            <w:r w:rsidRPr="00DB352F">
              <w:rPr>
                <w:sz w:val="22"/>
                <w:szCs w:val="22"/>
              </w:rPr>
              <w:t>смерть працівника, визнання його судом безвісно відсутнім або оголошення померлим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C7543" w14:textId="77777777" w:rsidR="00DB352F" w:rsidRPr="00DB352F" w:rsidRDefault="00DB352F" w:rsidP="00BD6CA9">
            <w:pPr>
              <w:pStyle w:val="anchor"/>
              <w:rPr>
                <w:sz w:val="22"/>
                <w:szCs w:val="22"/>
              </w:rPr>
            </w:pPr>
            <w:hyperlink r:id="rId19" w:anchor="440ba2ccfe" w:tgtFrame="_blank" w:history="1">
              <w:r w:rsidRPr="00DB352F">
                <w:rPr>
                  <w:rStyle w:val="a3"/>
                  <w:sz w:val="22"/>
                  <w:szCs w:val="22"/>
                </w:rPr>
                <w:t>п. 8-2 ст. 36 КЗпП</w:t>
              </w:r>
            </w:hyperlink>
          </w:p>
        </w:tc>
      </w:tr>
      <w:tr w:rsidR="00DB352F" w:rsidRPr="00DB352F" w14:paraId="7BC7E89C" w14:textId="77777777" w:rsidTr="00DB352F">
        <w:trPr>
          <w:trHeight w:val="668"/>
        </w:trPr>
        <w:tc>
          <w:tcPr>
            <w:tcW w:w="8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DCCD5" w14:textId="77777777" w:rsidR="00DB352F" w:rsidRPr="00DB352F" w:rsidRDefault="00DB352F" w:rsidP="00BD6CA9">
            <w:pPr>
              <w:pStyle w:val="anchor"/>
              <w:rPr>
                <w:sz w:val="22"/>
                <w:szCs w:val="22"/>
              </w:rPr>
            </w:pPr>
            <w:r w:rsidRPr="00DB352F">
              <w:rPr>
                <w:sz w:val="22"/>
                <w:szCs w:val="22"/>
              </w:rPr>
              <w:t>відсутність працівника на роботі та інформації про причини такої відсутності понад чотири місяці поспіль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7D4B5" w14:textId="77777777" w:rsidR="00DB352F" w:rsidRPr="00DB352F" w:rsidRDefault="00DB352F" w:rsidP="00BD6CA9">
            <w:pPr>
              <w:pStyle w:val="anchor"/>
              <w:rPr>
                <w:sz w:val="22"/>
                <w:szCs w:val="22"/>
              </w:rPr>
            </w:pPr>
            <w:hyperlink r:id="rId20" w:anchor="ff8b54826f" w:tgtFrame="_blank" w:history="1">
              <w:r w:rsidRPr="00DB352F">
                <w:rPr>
                  <w:rStyle w:val="a3"/>
                  <w:sz w:val="22"/>
                  <w:szCs w:val="22"/>
                </w:rPr>
                <w:t>п. 8-3 ст. 36 КЗпП</w:t>
              </w:r>
            </w:hyperlink>
          </w:p>
        </w:tc>
      </w:tr>
      <w:tr w:rsidR="00DB352F" w:rsidRPr="00DB352F" w14:paraId="0809F68A" w14:textId="77777777" w:rsidTr="00DB352F">
        <w:trPr>
          <w:trHeight w:val="806"/>
        </w:trPr>
        <w:tc>
          <w:tcPr>
            <w:tcW w:w="8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3A61A" w14:textId="77777777" w:rsidR="00DB352F" w:rsidRPr="00DB352F" w:rsidRDefault="00DB352F" w:rsidP="00BD6CA9">
            <w:pPr>
              <w:pStyle w:val="anchor"/>
              <w:rPr>
                <w:sz w:val="22"/>
                <w:szCs w:val="22"/>
              </w:rPr>
            </w:pPr>
            <w:r w:rsidRPr="00DB352F">
              <w:rPr>
                <w:sz w:val="22"/>
                <w:szCs w:val="22"/>
              </w:rPr>
              <w:t>розірвання трудового договору з керівником на вимогу профспілкового, чи іншого уповноваженого на представництво трудовим колективом органу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80FFB" w14:textId="77777777" w:rsidR="00DB352F" w:rsidRPr="00DB352F" w:rsidRDefault="00DB352F" w:rsidP="00BD6CA9">
            <w:pPr>
              <w:pStyle w:val="anchor"/>
              <w:rPr>
                <w:sz w:val="22"/>
                <w:szCs w:val="22"/>
              </w:rPr>
            </w:pPr>
            <w:hyperlink r:id="rId21" w:anchor="c260bc85c6" w:tgtFrame="_blank" w:history="1">
              <w:r w:rsidRPr="00DB352F">
                <w:rPr>
                  <w:rStyle w:val="a3"/>
                  <w:sz w:val="22"/>
                  <w:szCs w:val="22"/>
                </w:rPr>
                <w:t>п. 4 ст. 36 КЗпП</w:t>
              </w:r>
            </w:hyperlink>
          </w:p>
        </w:tc>
      </w:tr>
      <w:tr w:rsidR="00DB352F" w:rsidRPr="00DB352F" w14:paraId="0EEDCF95" w14:textId="77777777" w:rsidTr="00DB352F">
        <w:trPr>
          <w:trHeight w:val="534"/>
        </w:trPr>
        <w:tc>
          <w:tcPr>
            <w:tcW w:w="8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3C442" w14:textId="77777777" w:rsidR="00DB352F" w:rsidRPr="00DB352F" w:rsidRDefault="00DB352F" w:rsidP="00BD6CA9">
            <w:pPr>
              <w:pStyle w:val="anchor"/>
              <w:rPr>
                <w:sz w:val="22"/>
                <w:szCs w:val="22"/>
              </w:rPr>
            </w:pPr>
            <w:r w:rsidRPr="00DB352F">
              <w:rPr>
                <w:sz w:val="22"/>
                <w:szCs w:val="22"/>
              </w:rPr>
              <w:t>розірвання трудового договору з неповнолітнім на вимогу його батьків або інших осіб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CCD54" w14:textId="77777777" w:rsidR="00DB352F" w:rsidRPr="00DB352F" w:rsidRDefault="00DB352F" w:rsidP="00BD6CA9">
            <w:pPr>
              <w:pStyle w:val="anchor"/>
              <w:rPr>
                <w:sz w:val="22"/>
                <w:szCs w:val="22"/>
              </w:rPr>
            </w:pPr>
            <w:hyperlink r:id="rId22" w:anchor="b6378c1aff" w:tgtFrame="_blank" w:history="1">
              <w:r w:rsidRPr="00DB352F">
                <w:rPr>
                  <w:rStyle w:val="a3"/>
                  <w:sz w:val="22"/>
                  <w:szCs w:val="22"/>
                </w:rPr>
                <w:t>ст. 199 КЗпП</w:t>
              </w:r>
            </w:hyperlink>
          </w:p>
        </w:tc>
      </w:tr>
      <w:tr w:rsidR="00DB352F" w:rsidRPr="00DB352F" w14:paraId="49CF9AE1" w14:textId="77777777" w:rsidTr="00DB352F">
        <w:trPr>
          <w:trHeight w:val="358"/>
        </w:trPr>
        <w:tc>
          <w:tcPr>
            <w:tcW w:w="8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151B8" w14:textId="77777777" w:rsidR="00DB352F" w:rsidRPr="00DB352F" w:rsidRDefault="00DB352F" w:rsidP="00BD6CA9">
            <w:pPr>
              <w:pStyle w:val="anchor"/>
              <w:rPr>
                <w:sz w:val="22"/>
                <w:szCs w:val="22"/>
              </w:rPr>
            </w:pPr>
            <w:r w:rsidRPr="00DB352F">
              <w:rPr>
                <w:sz w:val="22"/>
                <w:szCs w:val="22"/>
              </w:rPr>
              <w:t>підстави, передбачені іншими законами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8E615" w14:textId="77777777" w:rsidR="00DB352F" w:rsidRPr="00DB352F" w:rsidRDefault="00DB352F" w:rsidP="00BD6CA9">
            <w:pPr>
              <w:pStyle w:val="anchor"/>
              <w:rPr>
                <w:sz w:val="22"/>
                <w:szCs w:val="22"/>
              </w:rPr>
            </w:pPr>
            <w:hyperlink r:id="rId23" w:anchor="c9a51fc409" w:tgtFrame="_blank" w:history="1">
              <w:r w:rsidRPr="00DB352F">
                <w:rPr>
                  <w:rStyle w:val="a3"/>
                  <w:sz w:val="22"/>
                  <w:szCs w:val="22"/>
                </w:rPr>
                <w:t>п. 9 ст. 36 КЗпП</w:t>
              </w:r>
            </w:hyperlink>
          </w:p>
        </w:tc>
      </w:tr>
    </w:tbl>
    <w:p w14:paraId="7BE51028" w14:textId="77777777" w:rsidR="00485237" w:rsidRDefault="00485237" w:rsidP="00DB352F"/>
    <w:sectPr w:rsidR="00485237">
      <w:headerReference w:type="default" r:id="rId24"/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57CEC" w14:textId="77777777" w:rsidR="00E20A77" w:rsidRDefault="00E20A77" w:rsidP="00DB352F">
      <w:r>
        <w:separator/>
      </w:r>
    </w:p>
  </w:endnote>
  <w:endnote w:type="continuationSeparator" w:id="0">
    <w:p w14:paraId="0084BE0C" w14:textId="77777777" w:rsidR="00E20A77" w:rsidRDefault="00E20A77" w:rsidP="00DB3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576B9" w14:textId="77777777" w:rsidR="00DB352F" w:rsidRPr="00822F41" w:rsidRDefault="00DB352F" w:rsidP="00822F41">
    <w:pPr>
      <w:pStyle w:val="a6"/>
      <w:rPr>
        <w:lang w:val="en-US"/>
      </w:rPr>
    </w:pPr>
    <w:r w:rsidRPr="00822F41">
      <w:rPr>
        <w:lang w:val="en-US"/>
      </w:rPr>
      <w:t>school.prokadry.com.ua</w:t>
    </w:r>
  </w:p>
  <w:p w14:paraId="35583494" w14:textId="77777777" w:rsidR="00DB352F" w:rsidRPr="00822F41" w:rsidRDefault="00DB352F" w:rsidP="00822F41">
    <w:pPr>
      <w:pStyle w:val="a6"/>
      <w:rPr>
        <w:lang w:val="en-US"/>
      </w:rPr>
    </w:pPr>
    <w:proofErr w:type="spellStart"/>
    <w:proofErr w:type="gramStart"/>
    <w:r w:rsidRPr="00822F41">
      <w:rPr>
        <w:lang w:val="en-US"/>
      </w:rPr>
      <w:t>shop.expertus</w:t>
    </w:r>
    <w:proofErr w:type="gramEnd"/>
    <w:r w:rsidRPr="00822F41">
      <w:rPr>
        <w:lang w:val="en-US"/>
      </w:rPr>
      <w:t>.media</w:t>
    </w:r>
    <w:proofErr w:type="spellEnd"/>
    <w:r w:rsidRPr="00822F41">
      <w:rPr>
        <w:lang w:val="en-US"/>
      </w:rPr>
      <w:t xml:space="preserve"> </w:t>
    </w:r>
  </w:p>
  <w:p w14:paraId="55F01A4B" w14:textId="375766AC" w:rsidR="00DB352F" w:rsidRDefault="00DB352F">
    <w:pPr>
      <w:pStyle w:val="a6"/>
    </w:pPr>
    <w: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BE19F" w14:textId="77777777" w:rsidR="00E20A77" w:rsidRDefault="00E20A77" w:rsidP="00DB352F">
      <w:r>
        <w:separator/>
      </w:r>
    </w:p>
  </w:footnote>
  <w:footnote w:type="continuationSeparator" w:id="0">
    <w:p w14:paraId="49FB7E61" w14:textId="77777777" w:rsidR="00E20A77" w:rsidRDefault="00E20A77" w:rsidP="00DB3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BC338" w14:textId="6C4EB622" w:rsidR="00DB352F" w:rsidRDefault="00DB352F">
    <w:pPr>
      <w:pStyle w:val="a4"/>
    </w:pPr>
    <w:r w:rsidRPr="00E3058D">
      <w:rPr>
        <w:noProof/>
      </w:rPr>
      <w:drawing>
        <wp:inline distT="0" distB="0" distL="0" distR="0" wp14:anchorId="22AE36C8" wp14:editId="10785706">
          <wp:extent cx="1517650" cy="508000"/>
          <wp:effectExtent l="0" t="0" r="6350" b="6350"/>
          <wp:docPr id="1488333943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3" t="9406" r="5569" b="14262"/>
                  <a:stretch>
                    <a:fillRect/>
                  </a:stretch>
                </pic:blipFill>
                <pic:spPr bwMode="auto">
                  <a:xfrm>
                    <a:off x="0" y="0"/>
                    <a:ext cx="151765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2F"/>
    <w:rsid w:val="00335F71"/>
    <w:rsid w:val="00485237"/>
    <w:rsid w:val="00510E95"/>
    <w:rsid w:val="00704CF8"/>
    <w:rsid w:val="00AF5203"/>
    <w:rsid w:val="00DB352F"/>
    <w:rsid w:val="00E20A77"/>
    <w:rsid w:val="00EA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70369"/>
  <w15:chartTrackingRefBased/>
  <w15:docId w15:val="{A08C4A64-294C-4F8F-AB9E-6EC36ECD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52F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:lang w:val="uk-UA"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chor">
    <w:name w:val="anchor"/>
    <w:basedOn w:val="a"/>
    <w:rsid w:val="00DB352F"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sid w:val="00DB352F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DB352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B352F"/>
    <w:rPr>
      <w:rFonts w:ascii="Times New Roman" w:eastAsiaTheme="minorEastAsia" w:hAnsi="Times New Roman" w:cs="Times New Roman"/>
      <w:kern w:val="0"/>
      <w:sz w:val="24"/>
      <w:szCs w:val="24"/>
      <w:lang w:val="uk-UA" w:eastAsia="uk-UA"/>
      <w14:ligatures w14:val="none"/>
    </w:rPr>
  </w:style>
  <w:style w:type="paragraph" w:styleId="a6">
    <w:name w:val="footer"/>
    <w:basedOn w:val="a"/>
    <w:link w:val="a7"/>
    <w:uiPriority w:val="99"/>
    <w:unhideWhenUsed/>
    <w:rsid w:val="00DB352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B352F"/>
    <w:rPr>
      <w:rFonts w:ascii="Times New Roman" w:eastAsiaTheme="minorEastAsia" w:hAnsi="Times New Roman" w:cs="Times New Roman"/>
      <w:kern w:val="0"/>
      <w:sz w:val="24"/>
      <w:szCs w:val="24"/>
      <w:lang w:val="uk-UA"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k.expertus.com.ua//law/17394?top=2" TargetMode="External"/><Relationship Id="rId13" Type="http://schemas.openxmlformats.org/officeDocument/2006/relationships/hyperlink" Target="https://ek.expertus.com.ua//law/17394?top=2" TargetMode="External"/><Relationship Id="rId18" Type="http://schemas.openxmlformats.org/officeDocument/2006/relationships/hyperlink" Target="https://ek.expertus.com.ua//law/17394?top=2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ek.expertus.com.ua//law/17394?top=2" TargetMode="External"/><Relationship Id="rId7" Type="http://schemas.openxmlformats.org/officeDocument/2006/relationships/hyperlink" Target="https://ek.expertus.com.ua//law/17394?top=2" TargetMode="External"/><Relationship Id="rId12" Type="http://schemas.openxmlformats.org/officeDocument/2006/relationships/hyperlink" Target="https://ek.expertus.com.ua//law/17394?top=2" TargetMode="External"/><Relationship Id="rId17" Type="http://schemas.openxmlformats.org/officeDocument/2006/relationships/hyperlink" Target="https://ek.expertus.com.ua//law/17394?top=2" TargetMode="External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ek.expertus.com.ua//law/17394?top=2" TargetMode="External"/><Relationship Id="rId20" Type="http://schemas.openxmlformats.org/officeDocument/2006/relationships/hyperlink" Target="https://ek.expertus.com.ua//law/17394?top=2" TargetMode="External"/><Relationship Id="rId1" Type="http://schemas.openxmlformats.org/officeDocument/2006/relationships/styles" Target="styles.xml"/><Relationship Id="rId6" Type="http://schemas.openxmlformats.org/officeDocument/2006/relationships/hyperlink" Target="https://ek.expertus.com.ua//law/17394?top=2" TargetMode="External"/><Relationship Id="rId11" Type="http://schemas.openxmlformats.org/officeDocument/2006/relationships/hyperlink" Target="https://ek.expertus.com.ua//law/17394?top=2" TargetMode="External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yperlink" Target="https://ek.expertus.com.ua//law/21938?top=1" TargetMode="External"/><Relationship Id="rId23" Type="http://schemas.openxmlformats.org/officeDocument/2006/relationships/hyperlink" Target="https://ek.expertus.com.ua//law/17394?top=2" TargetMode="External"/><Relationship Id="rId10" Type="http://schemas.openxmlformats.org/officeDocument/2006/relationships/hyperlink" Target="https://ek.expertus.com.ua//law/17394?top=2" TargetMode="External"/><Relationship Id="rId19" Type="http://schemas.openxmlformats.org/officeDocument/2006/relationships/hyperlink" Target="https://ek.expertus.com.ua//law/17394?top=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k.expertus.com.ua//law/17394?top=2" TargetMode="External"/><Relationship Id="rId14" Type="http://schemas.openxmlformats.org/officeDocument/2006/relationships/hyperlink" Target="https://ek.expertus.com.ua//law/17394?top=2" TargetMode="External"/><Relationship Id="rId22" Type="http://schemas.openxmlformats.org/officeDocument/2006/relationships/hyperlink" Target="https://ek.expertus.com.ua//law/17394?top=2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Черниш</dc:creator>
  <cp:keywords/>
  <dc:description/>
  <cp:lastModifiedBy>Катерина Черниш</cp:lastModifiedBy>
  <cp:revision>1</cp:revision>
  <dcterms:created xsi:type="dcterms:W3CDTF">2023-12-18T13:56:00Z</dcterms:created>
  <dcterms:modified xsi:type="dcterms:W3CDTF">2023-12-18T13:58:00Z</dcterms:modified>
</cp:coreProperties>
</file>