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4722" w14:textId="2D37B5C0" w:rsidR="00064A8E" w:rsidRDefault="00064A8E" w:rsidP="00064A8E">
      <w:pPr>
        <w:pStyle w:val="Heading2"/>
      </w:pPr>
      <w:r w:rsidRPr="00064A8E">
        <w:t>Wstęp i weryfikacja jakości danych.</w:t>
      </w:r>
    </w:p>
    <w:p w14:paraId="51B0843F" w14:textId="2EE9F72B" w:rsidR="00064A8E" w:rsidRDefault="00064A8E" w:rsidP="00064A8E">
      <w:r>
        <w:t>Celem analizy była ocena wpływu interwencji cyfrowej na umiejętności matematyczne uczniów. Analizę rozpoczęto od weryfikacji zbioru danych, która wykazała:</w:t>
      </w:r>
    </w:p>
    <w:p w14:paraId="23B9036F" w14:textId="35E0ACB3" w:rsidR="00064A8E" w:rsidRDefault="00D0542F" w:rsidP="00064A8E">
      <w:pPr>
        <w:pStyle w:val="ListParagraph"/>
        <w:numPr>
          <w:ilvl w:val="0"/>
          <w:numId w:val="2"/>
        </w:numPr>
      </w:pPr>
      <w:r>
        <w:t>K</w:t>
      </w:r>
      <w:r w:rsidR="00064A8E">
        <w:t>ompletność: zbiór danych jest w pełni kompletny w kluczowych zmiennych. Brak wartości w danym zdaniu zinterpretowano jako brak wystąpienia zadania w danym pomiarze.</w:t>
      </w:r>
    </w:p>
    <w:p w14:paraId="190B5410" w14:textId="5D48F565" w:rsidR="00064A8E" w:rsidRDefault="00D0542F" w:rsidP="00064A8E">
      <w:pPr>
        <w:pStyle w:val="ListParagraph"/>
        <w:numPr>
          <w:ilvl w:val="0"/>
          <w:numId w:val="2"/>
        </w:numPr>
      </w:pPr>
      <w:r>
        <w:t>P</w:t>
      </w:r>
      <w:r w:rsidR="00064A8E">
        <w:t>oprawność randomizacji: każda szkoła została przypisana tylko do jednej grupy.</w:t>
      </w:r>
    </w:p>
    <w:p w14:paraId="6FA10014" w14:textId="052D15EE" w:rsidR="00064A8E" w:rsidRDefault="00D0542F" w:rsidP="00064A8E">
      <w:pPr>
        <w:pStyle w:val="ListParagraph"/>
        <w:numPr>
          <w:ilvl w:val="0"/>
          <w:numId w:val="2"/>
        </w:numPr>
      </w:pPr>
      <w:r>
        <w:t>R</w:t>
      </w:r>
      <w:r w:rsidR="00064A8E">
        <w:t xml:space="preserve">etencja: wszyscy uczniowie biorący udział w pomiarze PreTest wzieli również udział w pomiarze PostTest. </w:t>
      </w:r>
    </w:p>
    <w:p w14:paraId="0E6D3400" w14:textId="77777777" w:rsidR="00064A8E" w:rsidRDefault="00064A8E" w:rsidP="00064A8E"/>
    <w:p w14:paraId="24CD9E9E" w14:textId="31ABE3F3" w:rsidR="00064A8E" w:rsidRDefault="00064A8E" w:rsidP="00064A8E">
      <w:r>
        <w:t xml:space="preserve">Kod potwierdzający te podpunkty jest dostępny w sekcji </w:t>
      </w:r>
      <w:r w:rsidRPr="00064A8E">
        <w:rPr>
          <w:b/>
          <w:bCs/>
        </w:rPr>
        <w:t>Weryfikacja danych</w:t>
      </w:r>
      <w:r>
        <w:t xml:space="preserve"> w pliku task.ipynb</w:t>
      </w:r>
    </w:p>
    <w:p w14:paraId="0CEC3E7C" w14:textId="77777777" w:rsidR="00064A8E" w:rsidRDefault="00064A8E" w:rsidP="00064A8E"/>
    <w:p w14:paraId="697F72B9" w14:textId="3F0C6BC5" w:rsidR="00064A8E" w:rsidRDefault="00064A8E" w:rsidP="00064A8E">
      <w:pPr>
        <w:pStyle w:val="Heading2"/>
      </w:pPr>
      <w:r>
        <w:t>Charakterystyka próby i narzędzi</w:t>
      </w:r>
    </w:p>
    <w:p w14:paraId="42A5011C" w14:textId="3BE65366" w:rsidR="00064A8E" w:rsidRDefault="00064A8E" w:rsidP="00064A8E">
      <w:r>
        <w:t>Próba badawcza składa się z 161 szkół, co przekłada się na 1224 uczniów. Grupy są zrównoważone liczebnie.</w:t>
      </w:r>
    </w:p>
    <w:p w14:paraId="1E0550BC" w14:textId="3E849D2D" w:rsidR="00064A8E" w:rsidRDefault="00064A8E" w:rsidP="00064A8E">
      <w:r>
        <w:t xml:space="preserve">Tabela 1. </w:t>
      </w:r>
      <w:r w:rsidR="00DE2698">
        <w:t>Liczba szkół i uczniów w zależności od grupy</w:t>
      </w:r>
    </w:p>
    <w:tbl>
      <w:tblPr>
        <w:tblStyle w:val="TableGrid"/>
        <w:tblW w:w="0" w:type="auto"/>
        <w:tblLook w:val="04A0" w:firstRow="1" w:lastRow="0" w:firstColumn="1" w:lastColumn="0" w:noHBand="0" w:noVBand="1"/>
      </w:tblPr>
      <w:tblGrid>
        <w:gridCol w:w="3020"/>
        <w:gridCol w:w="3021"/>
        <w:gridCol w:w="3021"/>
      </w:tblGrid>
      <w:tr w:rsidR="00064A8E" w14:paraId="5D9CE249" w14:textId="77777777" w:rsidTr="00064A8E">
        <w:tc>
          <w:tcPr>
            <w:tcW w:w="3020" w:type="dxa"/>
          </w:tcPr>
          <w:p w14:paraId="59570347" w14:textId="77777777" w:rsidR="00064A8E" w:rsidRDefault="00064A8E" w:rsidP="00064A8E"/>
        </w:tc>
        <w:tc>
          <w:tcPr>
            <w:tcW w:w="3021" w:type="dxa"/>
          </w:tcPr>
          <w:p w14:paraId="7A2595E7" w14:textId="4AD439DA" w:rsidR="00064A8E" w:rsidRDefault="00064A8E" w:rsidP="00064A8E">
            <w:r>
              <w:t>Liczba szkół</w:t>
            </w:r>
          </w:p>
        </w:tc>
        <w:tc>
          <w:tcPr>
            <w:tcW w:w="3021" w:type="dxa"/>
          </w:tcPr>
          <w:p w14:paraId="0EF4BA54" w14:textId="74948F89" w:rsidR="00064A8E" w:rsidRDefault="00064A8E" w:rsidP="00064A8E">
            <w:r>
              <w:t>Liczba uczniów</w:t>
            </w:r>
          </w:p>
        </w:tc>
      </w:tr>
      <w:tr w:rsidR="00064A8E" w14:paraId="2F28B443" w14:textId="77777777" w:rsidTr="00064A8E">
        <w:tc>
          <w:tcPr>
            <w:tcW w:w="3020" w:type="dxa"/>
          </w:tcPr>
          <w:p w14:paraId="48CBD9AD" w14:textId="443F40FF" w:rsidR="00064A8E" w:rsidRDefault="00064A8E" w:rsidP="00064A8E">
            <w:r>
              <w:t>grupa kontrolna</w:t>
            </w:r>
          </w:p>
        </w:tc>
        <w:tc>
          <w:tcPr>
            <w:tcW w:w="3021" w:type="dxa"/>
          </w:tcPr>
          <w:p w14:paraId="4F6A9611" w14:textId="57149A9D" w:rsidR="00064A8E" w:rsidRDefault="00064A8E" w:rsidP="00064A8E">
            <w:r>
              <w:t>77</w:t>
            </w:r>
          </w:p>
        </w:tc>
        <w:tc>
          <w:tcPr>
            <w:tcW w:w="3021" w:type="dxa"/>
          </w:tcPr>
          <w:p w14:paraId="470BEA4F" w14:textId="0F2C7D8A" w:rsidR="00064A8E" w:rsidRDefault="00064A8E" w:rsidP="00064A8E">
            <w:r>
              <w:t>591</w:t>
            </w:r>
          </w:p>
        </w:tc>
      </w:tr>
      <w:tr w:rsidR="00064A8E" w14:paraId="1F16F0DA" w14:textId="77777777" w:rsidTr="00064A8E">
        <w:tc>
          <w:tcPr>
            <w:tcW w:w="3020" w:type="dxa"/>
          </w:tcPr>
          <w:p w14:paraId="479846D4" w14:textId="44A31A92" w:rsidR="00064A8E" w:rsidRDefault="00064A8E" w:rsidP="00064A8E">
            <w:r>
              <w:t>grupa eksperymentalna</w:t>
            </w:r>
          </w:p>
        </w:tc>
        <w:tc>
          <w:tcPr>
            <w:tcW w:w="3021" w:type="dxa"/>
          </w:tcPr>
          <w:p w14:paraId="37E220B6" w14:textId="11518649" w:rsidR="00064A8E" w:rsidRDefault="00064A8E" w:rsidP="00064A8E">
            <w:r>
              <w:t>84</w:t>
            </w:r>
          </w:p>
        </w:tc>
        <w:tc>
          <w:tcPr>
            <w:tcW w:w="3021" w:type="dxa"/>
          </w:tcPr>
          <w:p w14:paraId="790DBCF5" w14:textId="6E51AE97" w:rsidR="00064A8E" w:rsidRDefault="00064A8E" w:rsidP="00064A8E">
            <w:r>
              <w:t>633</w:t>
            </w:r>
          </w:p>
        </w:tc>
      </w:tr>
      <w:tr w:rsidR="00064A8E" w14:paraId="6C32C2F7" w14:textId="77777777" w:rsidTr="00064A8E">
        <w:tc>
          <w:tcPr>
            <w:tcW w:w="3020" w:type="dxa"/>
          </w:tcPr>
          <w:p w14:paraId="4E2299C3" w14:textId="709FC26C" w:rsidR="00064A8E" w:rsidRDefault="00064A8E" w:rsidP="00064A8E">
            <w:r>
              <w:t>TOTAL</w:t>
            </w:r>
          </w:p>
        </w:tc>
        <w:tc>
          <w:tcPr>
            <w:tcW w:w="3021" w:type="dxa"/>
          </w:tcPr>
          <w:p w14:paraId="20719B05" w14:textId="7AD7CD0C" w:rsidR="00064A8E" w:rsidRDefault="00064A8E" w:rsidP="00064A8E">
            <w:r>
              <w:t>161</w:t>
            </w:r>
          </w:p>
        </w:tc>
        <w:tc>
          <w:tcPr>
            <w:tcW w:w="3021" w:type="dxa"/>
          </w:tcPr>
          <w:p w14:paraId="4154C5BD" w14:textId="2C9D7761" w:rsidR="00064A8E" w:rsidRDefault="00064A8E" w:rsidP="00064A8E">
            <w:r>
              <w:t>1224</w:t>
            </w:r>
          </w:p>
        </w:tc>
      </w:tr>
    </w:tbl>
    <w:p w14:paraId="124E6BA9" w14:textId="77777777" w:rsidR="00064A8E" w:rsidRDefault="00064A8E" w:rsidP="00064A8E"/>
    <w:p w14:paraId="1038DA62" w14:textId="4778D819" w:rsidR="00064A8E" w:rsidRDefault="00DE2698" w:rsidP="00064A8E">
      <w:r>
        <w:t>Analiza trudności zadań wykazuje, że średni wynik z zadań wynosi ok. 0.5, co wskazuje na idealne dopasowanie trudności testu do poziomu populacji. Wśród zadań, nie ma również zadań o skrajnych trudnościach, czyli takich gdzie średni wynik jest albo zbliżony do 0 lub 1, przez co każde pytanie wnosi dodatkowe informacje o różnicowaniu uczniów.</w:t>
      </w:r>
    </w:p>
    <w:p w14:paraId="20D71978" w14:textId="76F8CB8F" w:rsidR="00DE2698" w:rsidRDefault="00DE2698">
      <w:r>
        <w:br w:type="page"/>
      </w:r>
    </w:p>
    <w:p w14:paraId="41A62B47" w14:textId="41EB2D88" w:rsidR="00DE2698" w:rsidRDefault="00DE2698" w:rsidP="00064A8E">
      <w:r>
        <w:lastRenderedPageBreak/>
        <w:t>Wykres 1. Średni wynik zadań w PreTest:</w:t>
      </w:r>
    </w:p>
    <w:p w14:paraId="58431825" w14:textId="37A58FDE" w:rsidR="00DE2698" w:rsidRDefault="00DE2698" w:rsidP="00064A8E">
      <w:r w:rsidRPr="00DE2698">
        <w:drawing>
          <wp:inline distT="0" distB="0" distL="0" distR="0" wp14:anchorId="658D153B" wp14:editId="2C026D17">
            <wp:extent cx="5760720" cy="2313305"/>
            <wp:effectExtent l="0" t="0" r="0" b="0"/>
            <wp:docPr id="7665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3379" name=""/>
                    <pic:cNvPicPr/>
                  </pic:nvPicPr>
                  <pic:blipFill>
                    <a:blip r:embed="rId5"/>
                    <a:stretch>
                      <a:fillRect/>
                    </a:stretch>
                  </pic:blipFill>
                  <pic:spPr>
                    <a:xfrm>
                      <a:off x="0" y="0"/>
                      <a:ext cx="5760720" cy="2313305"/>
                    </a:xfrm>
                    <a:prstGeom prst="rect">
                      <a:avLst/>
                    </a:prstGeom>
                  </pic:spPr>
                </pic:pic>
              </a:graphicData>
            </a:graphic>
          </wp:inline>
        </w:drawing>
      </w:r>
    </w:p>
    <w:p w14:paraId="06A5A0F8" w14:textId="61DC5448" w:rsidR="00DE2698" w:rsidRDefault="00DE2698" w:rsidP="00064A8E">
      <w:r>
        <w:t>Wykres 2. Średni wynik zdań w PostTest:</w:t>
      </w:r>
    </w:p>
    <w:p w14:paraId="25D13BB3" w14:textId="2689B8B1" w:rsidR="00DE2698" w:rsidRDefault="00DE2698" w:rsidP="00064A8E">
      <w:r w:rsidRPr="00DE2698">
        <w:drawing>
          <wp:inline distT="0" distB="0" distL="0" distR="0" wp14:anchorId="0C7F2004" wp14:editId="183AF634">
            <wp:extent cx="5760720" cy="2292350"/>
            <wp:effectExtent l="0" t="0" r="0" b="0"/>
            <wp:docPr id="133088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9264" name=""/>
                    <pic:cNvPicPr/>
                  </pic:nvPicPr>
                  <pic:blipFill>
                    <a:blip r:embed="rId6"/>
                    <a:stretch>
                      <a:fillRect/>
                    </a:stretch>
                  </pic:blipFill>
                  <pic:spPr>
                    <a:xfrm>
                      <a:off x="0" y="0"/>
                      <a:ext cx="5760720" cy="2292350"/>
                    </a:xfrm>
                    <a:prstGeom prst="rect">
                      <a:avLst/>
                    </a:prstGeom>
                  </pic:spPr>
                </pic:pic>
              </a:graphicData>
            </a:graphic>
          </wp:inline>
        </w:drawing>
      </w:r>
    </w:p>
    <w:p w14:paraId="0E513CD7" w14:textId="34B3FC8A" w:rsidR="00DE2698" w:rsidRDefault="00DE2698" w:rsidP="00064A8E">
      <w:r>
        <w:t xml:space="preserve">Kod potwierdzający powyższe punkty jest dostępny w sekcji </w:t>
      </w:r>
      <w:r w:rsidRPr="00DE2698">
        <w:rPr>
          <w:b/>
          <w:bCs/>
        </w:rPr>
        <w:t>Eksploracja danych</w:t>
      </w:r>
      <w:r>
        <w:t xml:space="preserve"> w pliku task.ipynb</w:t>
      </w:r>
    </w:p>
    <w:p w14:paraId="35DB53BC" w14:textId="77777777" w:rsidR="00DE2698" w:rsidRDefault="00DE2698" w:rsidP="00064A8E"/>
    <w:p w14:paraId="312D76D6" w14:textId="12A8E801" w:rsidR="00DE2698" w:rsidRDefault="00DE2698" w:rsidP="00DE2698">
      <w:pPr>
        <w:pStyle w:val="Heading2"/>
      </w:pPr>
      <w:r>
        <w:t>Analiza psychometryczna</w:t>
      </w:r>
    </w:p>
    <w:p w14:paraId="08F2C28B" w14:textId="48791E77" w:rsidR="00DE2698" w:rsidRDefault="00DE2698" w:rsidP="00DE2698">
      <w:r>
        <w:t>Przed budową wskaźników spradzono założenia dotyczące rzetelności i struktury testu. Analiza wykazała:</w:t>
      </w:r>
    </w:p>
    <w:p w14:paraId="3864DA17" w14:textId="2A9B5630" w:rsidR="00DE2698" w:rsidRDefault="00D0542F" w:rsidP="00DE2698">
      <w:pPr>
        <w:pStyle w:val="ListParagraph"/>
        <w:numPr>
          <w:ilvl w:val="0"/>
          <w:numId w:val="3"/>
        </w:numPr>
      </w:pPr>
      <w:r>
        <w:t>J</w:t>
      </w:r>
      <w:r w:rsidR="00DE2698">
        <w:t xml:space="preserve">ednowymiarowność: </w:t>
      </w:r>
      <w:r>
        <w:t>test Bartletta istotnie statystyczny (p &lt; 0.001) oraz wysokie wskaźniki KMO (&gt;0.9) potwierdziły zasadność analizy czynnikowej. Wykres osypiska wykazał dominację jednego głównego czynnika, co pozwala na stosowanie modeli IRT zakładających jedną cechę ukrytą (theta).</w:t>
      </w:r>
    </w:p>
    <w:p w14:paraId="35834551" w14:textId="17B8FCB2" w:rsidR="00D0542F" w:rsidRDefault="00D0542F" w:rsidP="00DE2698">
      <w:pPr>
        <w:pStyle w:val="ListParagraph"/>
        <w:numPr>
          <w:ilvl w:val="0"/>
          <w:numId w:val="3"/>
        </w:numPr>
      </w:pPr>
      <w:r>
        <w:t>Rzetelność: Alfa Cronbacha na poziomie 0.82 dla PreTest i 0.87 dla PostTest świadczy o wysokiej spójności wewnętrznej testów. Oznacza to, że obydwa pomiary mierzą tą samą cechę.</w:t>
      </w:r>
    </w:p>
    <w:p w14:paraId="0A98C856" w14:textId="6FA55E11" w:rsidR="00D0542F" w:rsidRDefault="00D0542F" w:rsidP="00DE2698">
      <w:pPr>
        <w:pStyle w:val="ListParagraph"/>
        <w:numPr>
          <w:ilvl w:val="0"/>
          <w:numId w:val="3"/>
        </w:numPr>
      </w:pPr>
      <w:r>
        <w:lastRenderedPageBreak/>
        <w:t>Dyskryminacja: Maksymalna moc dyskryminacyjna zadań to 0.58 co dowodzi, że narzędzie silnie różnicuje uczniów zdolnych od słabszych.</w:t>
      </w:r>
    </w:p>
    <w:p w14:paraId="1F478AAD" w14:textId="77777777" w:rsidR="00D0542F" w:rsidRDefault="00D0542F" w:rsidP="00D0542F"/>
    <w:p w14:paraId="4F983511" w14:textId="60723DD4" w:rsidR="00D0542F" w:rsidRDefault="00D0542F" w:rsidP="00D0542F">
      <w:r>
        <w:t>Wykres 3. Wykres osypiska w PreTest:</w:t>
      </w:r>
    </w:p>
    <w:p w14:paraId="32CA9218" w14:textId="04E35BAE" w:rsidR="00D0542F" w:rsidRDefault="00D0542F" w:rsidP="00D0542F">
      <w:r w:rsidRPr="00D0542F">
        <w:drawing>
          <wp:inline distT="0" distB="0" distL="0" distR="0" wp14:anchorId="2140D098" wp14:editId="75C5434D">
            <wp:extent cx="5760720" cy="2189480"/>
            <wp:effectExtent l="0" t="0" r="0" b="1270"/>
            <wp:docPr id="167470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1402" name=""/>
                    <pic:cNvPicPr/>
                  </pic:nvPicPr>
                  <pic:blipFill>
                    <a:blip r:embed="rId7"/>
                    <a:stretch>
                      <a:fillRect/>
                    </a:stretch>
                  </pic:blipFill>
                  <pic:spPr>
                    <a:xfrm>
                      <a:off x="0" y="0"/>
                      <a:ext cx="5760720" cy="2189480"/>
                    </a:xfrm>
                    <a:prstGeom prst="rect">
                      <a:avLst/>
                    </a:prstGeom>
                  </pic:spPr>
                </pic:pic>
              </a:graphicData>
            </a:graphic>
          </wp:inline>
        </w:drawing>
      </w:r>
    </w:p>
    <w:p w14:paraId="2E091626" w14:textId="2445B388" w:rsidR="00D0542F" w:rsidRPr="00DE2698" w:rsidRDefault="00D0542F" w:rsidP="00D0542F">
      <w:r>
        <w:t>Wykres 4. Wykres osypiska w PostTest</w:t>
      </w:r>
      <w:r w:rsidRPr="00D0542F">
        <w:rPr>
          <w:noProof/>
        </w:rPr>
        <w:t xml:space="preserve"> </w:t>
      </w:r>
      <w:r w:rsidRPr="00D0542F">
        <w:drawing>
          <wp:inline distT="0" distB="0" distL="0" distR="0" wp14:anchorId="0D58970C" wp14:editId="1D1CAE9D">
            <wp:extent cx="5760720" cy="2202815"/>
            <wp:effectExtent l="0" t="0" r="0" b="6985"/>
            <wp:docPr id="10284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07718" name=""/>
                    <pic:cNvPicPr/>
                  </pic:nvPicPr>
                  <pic:blipFill>
                    <a:blip r:embed="rId8"/>
                    <a:stretch>
                      <a:fillRect/>
                    </a:stretch>
                  </pic:blipFill>
                  <pic:spPr>
                    <a:xfrm>
                      <a:off x="0" y="0"/>
                      <a:ext cx="5760720" cy="2202815"/>
                    </a:xfrm>
                    <a:prstGeom prst="rect">
                      <a:avLst/>
                    </a:prstGeom>
                  </pic:spPr>
                </pic:pic>
              </a:graphicData>
            </a:graphic>
          </wp:inline>
        </w:drawing>
      </w:r>
    </w:p>
    <w:p w14:paraId="763E91D1" w14:textId="77777777" w:rsidR="00D0542F" w:rsidRDefault="00D0542F" w:rsidP="00DE2698"/>
    <w:p w14:paraId="5DE8479C" w14:textId="677EBBCE" w:rsidR="00DE2698" w:rsidRDefault="00D0542F" w:rsidP="00DE2698">
      <w:r>
        <w:t>Połączenie tych wskaźników i potwierdzenie jednowymiarowości stanowi dobrą bazę do zastosowania modelu IRT. Pozwala on na precyzyjne wyliczenie wskaźnika umiejętności (theta), który w przeciwieństwie do surowych wyników punktowych, uwzględnia zróżnicowaną trudność zadań i minimalizuje błąd pomiaru dla każdego ucznia indyiwdualnie.</w:t>
      </w:r>
    </w:p>
    <w:p w14:paraId="51554D96" w14:textId="77777777" w:rsidR="00D0542F" w:rsidRDefault="00D0542F" w:rsidP="00DE2698"/>
    <w:p w14:paraId="7CFD55C6" w14:textId="283A1382" w:rsidR="00D0542F" w:rsidRDefault="00D0542F" w:rsidP="00DE2698">
      <w:r>
        <w:t xml:space="preserve">Kod potwierdzający powyższe punkty jest dostępny w sekcji </w:t>
      </w:r>
      <w:r w:rsidRPr="00D0542F">
        <w:rPr>
          <w:b/>
          <w:bCs/>
        </w:rPr>
        <w:t>Analiza czynnikowa</w:t>
      </w:r>
      <w:r>
        <w:rPr>
          <w:b/>
          <w:bCs/>
        </w:rPr>
        <w:t xml:space="preserve"> </w:t>
      </w:r>
      <w:r w:rsidRPr="00D0542F">
        <w:t>i sekcji</w:t>
      </w:r>
      <w:r>
        <w:rPr>
          <w:b/>
          <w:bCs/>
        </w:rPr>
        <w:t xml:space="preserve"> </w:t>
      </w:r>
      <w:r w:rsidRPr="00D0542F">
        <w:rPr>
          <w:b/>
          <w:bCs/>
        </w:rPr>
        <w:t>CTT - Classical Test Theory</w:t>
      </w:r>
      <w:r>
        <w:rPr>
          <w:b/>
          <w:bCs/>
        </w:rPr>
        <w:t xml:space="preserve"> </w:t>
      </w:r>
      <w:r>
        <w:t>w pliku task.ipynb</w:t>
      </w:r>
    </w:p>
    <w:p w14:paraId="63ECB6C7" w14:textId="77777777" w:rsidR="00D0542F" w:rsidRDefault="00D0542F" w:rsidP="00DE2698"/>
    <w:p w14:paraId="54865BA8" w14:textId="32743EB6" w:rsidR="00D0542F" w:rsidRDefault="00D0542F" w:rsidP="00D0542F">
      <w:pPr>
        <w:pStyle w:val="Heading2"/>
        <w:rPr>
          <w:lang w:val="en-GB"/>
        </w:rPr>
      </w:pPr>
      <w:proofErr w:type="spellStart"/>
      <w:r w:rsidRPr="00D0542F">
        <w:rPr>
          <w:lang w:val="en-GB"/>
        </w:rPr>
        <w:lastRenderedPageBreak/>
        <w:t>Modelowanie</w:t>
      </w:r>
      <w:proofErr w:type="spellEnd"/>
      <w:r w:rsidRPr="00D0542F">
        <w:rPr>
          <w:lang w:val="en-GB"/>
        </w:rPr>
        <w:t xml:space="preserve"> IRT (Item Response T</w:t>
      </w:r>
      <w:r>
        <w:rPr>
          <w:lang w:val="en-GB"/>
        </w:rPr>
        <w:t>heory)</w:t>
      </w:r>
    </w:p>
    <w:p w14:paraId="1A13EB99" w14:textId="219BC2A8" w:rsidR="00D0542F" w:rsidRDefault="00DD2EA2" w:rsidP="00D0542F">
      <w:r w:rsidRPr="00DD2EA2">
        <w:t>Modele IRT pozwala na o</w:t>
      </w:r>
      <w:r>
        <w:t xml:space="preserve">ddzielenie właściwości zadań od poziomu umiejętności uczniów, co skutkuje bardziej precyzyjnym pomiarem cechy ukrytej. </w:t>
      </w:r>
      <w:r w:rsidRPr="00DD2EA2">
        <w:rPr>
          <w:lang w:val="en-GB"/>
        </w:rPr>
        <w:t xml:space="preserve">W </w:t>
      </w:r>
      <w:proofErr w:type="spellStart"/>
      <w:r w:rsidRPr="00DD2EA2">
        <w:rPr>
          <w:lang w:val="en-GB"/>
        </w:rPr>
        <w:t>procesie</w:t>
      </w:r>
      <w:proofErr w:type="spellEnd"/>
      <w:r w:rsidRPr="00DD2EA2">
        <w:rPr>
          <w:lang w:val="en-GB"/>
        </w:rPr>
        <w:t xml:space="preserve"> </w:t>
      </w:r>
      <w:proofErr w:type="spellStart"/>
      <w:r w:rsidRPr="00DD2EA2">
        <w:rPr>
          <w:lang w:val="en-GB"/>
        </w:rPr>
        <w:t>analizy</w:t>
      </w:r>
      <w:proofErr w:type="spellEnd"/>
      <w:r w:rsidRPr="00DD2EA2">
        <w:rPr>
          <w:lang w:val="en-GB"/>
        </w:rPr>
        <w:t xml:space="preserve"> </w:t>
      </w:r>
      <w:proofErr w:type="spellStart"/>
      <w:r w:rsidRPr="00DD2EA2">
        <w:rPr>
          <w:lang w:val="en-GB"/>
        </w:rPr>
        <w:t>porównano</w:t>
      </w:r>
      <w:proofErr w:type="spellEnd"/>
      <w:r w:rsidRPr="00DD2EA2">
        <w:rPr>
          <w:lang w:val="en-GB"/>
        </w:rPr>
        <w:t xml:space="preserve"> </w:t>
      </w:r>
      <w:proofErr w:type="spellStart"/>
      <w:r w:rsidRPr="00DD2EA2">
        <w:rPr>
          <w:lang w:val="en-GB"/>
        </w:rPr>
        <w:t>modele</w:t>
      </w:r>
      <w:proofErr w:type="spellEnd"/>
      <w:r w:rsidRPr="00DD2EA2">
        <w:rPr>
          <w:lang w:val="en-GB"/>
        </w:rPr>
        <w:t xml:space="preserve"> Two-Parameter Logistic</w:t>
      </w:r>
      <w:r>
        <w:rPr>
          <w:lang w:val="en-GB"/>
        </w:rPr>
        <w:t xml:space="preserve"> (2PL)</w:t>
      </w:r>
      <w:r w:rsidRPr="00DD2EA2">
        <w:rPr>
          <w:lang w:val="en-GB"/>
        </w:rPr>
        <w:t xml:space="preserve"> </w:t>
      </w:r>
      <w:proofErr w:type="spellStart"/>
      <w:r w:rsidRPr="00DD2EA2">
        <w:rPr>
          <w:lang w:val="en-GB"/>
        </w:rPr>
        <w:t>i</w:t>
      </w:r>
      <w:proofErr w:type="spellEnd"/>
      <w:r w:rsidRPr="00DD2EA2">
        <w:rPr>
          <w:lang w:val="en-GB"/>
        </w:rPr>
        <w:t xml:space="preserve"> Three-Parameter Logistic</w:t>
      </w:r>
      <w:r>
        <w:rPr>
          <w:lang w:val="en-GB"/>
        </w:rPr>
        <w:t xml:space="preserve"> (3PL). </w:t>
      </w:r>
      <w:r w:rsidRPr="00DD2EA2">
        <w:t xml:space="preserve">Model 3PL dodaje do modelu 2PL parameter zgadywania, </w:t>
      </w:r>
      <w:r>
        <w:t xml:space="preserve">przez co bierze pod uwagę dodatkowy czynnik. Estymacja modelu 3PL wykazała, że prawdopodobieństwo poprawnej </w:t>
      </w:r>
      <w:r w:rsidRPr="00DD2EA2">
        <w:t>odpowiedzi przez zgadywanie dla niemal wszystkich zadań oscylowało blisko zera. Świadczy to o bardzo dobrym doborze dystraktorów w zadaniach zamkniętych.</w:t>
      </w:r>
    </w:p>
    <w:p w14:paraId="2E210E76" w14:textId="45CF21AF" w:rsidR="00DD2EA2" w:rsidRDefault="00DD2EA2" w:rsidP="00D0542F">
      <w:r>
        <w:t>Przez to, że dodatkowy czynnik w modelu 3PL okazał się być praktycznie zerowy do ostatecznej analizy wybrano model 2PL. Model ten, operując parametrem trduności (b) oraz dyskryminacji (a), zapewnia wyższą stabliność estymacji parametrów przy obecnej wielkości próby i braku istotnego efektu zgadywania.</w:t>
      </w:r>
    </w:p>
    <w:p w14:paraId="1FD95BC7" w14:textId="77777777" w:rsidR="00DD2EA2" w:rsidRDefault="00DD2EA2" w:rsidP="00D0542F"/>
    <w:p w14:paraId="283ABADA" w14:textId="134BA339" w:rsidR="00DD2EA2" w:rsidRDefault="00DD2EA2" w:rsidP="00D0542F">
      <w:r>
        <w:t>Wykres 5. Krzywa ICC dla zadań  PreTest z modelu 2PL</w:t>
      </w:r>
    </w:p>
    <w:p w14:paraId="33EFFB4A" w14:textId="18F5DC79" w:rsidR="00DD2EA2" w:rsidRPr="00DD2EA2" w:rsidRDefault="00DD2EA2" w:rsidP="00D0542F">
      <w:r w:rsidRPr="00DD2EA2">
        <w:drawing>
          <wp:inline distT="0" distB="0" distL="0" distR="0" wp14:anchorId="2B17C8C7" wp14:editId="13FF299A">
            <wp:extent cx="5760720" cy="2373630"/>
            <wp:effectExtent l="0" t="0" r="0" b="7620"/>
            <wp:docPr id="85255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8822" name=""/>
                    <pic:cNvPicPr/>
                  </pic:nvPicPr>
                  <pic:blipFill>
                    <a:blip r:embed="rId9"/>
                    <a:stretch>
                      <a:fillRect/>
                    </a:stretch>
                  </pic:blipFill>
                  <pic:spPr>
                    <a:xfrm>
                      <a:off x="0" y="0"/>
                      <a:ext cx="5760720" cy="2373630"/>
                    </a:xfrm>
                    <a:prstGeom prst="rect">
                      <a:avLst/>
                    </a:prstGeom>
                  </pic:spPr>
                </pic:pic>
              </a:graphicData>
            </a:graphic>
          </wp:inline>
        </w:drawing>
      </w:r>
    </w:p>
    <w:p w14:paraId="31BDA4D1" w14:textId="5E168BC4" w:rsidR="00D0542F" w:rsidRDefault="00DD2EA2" w:rsidP="00DE2698">
      <w:r>
        <w:t>Wykres 6. Krzywa ICC dla zdań PostTest z modelu 2PL</w:t>
      </w:r>
    </w:p>
    <w:p w14:paraId="76C2F473" w14:textId="08BF2C76" w:rsidR="00DD2EA2" w:rsidRDefault="00DD2EA2" w:rsidP="00DE2698">
      <w:r w:rsidRPr="00DD2EA2">
        <w:drawing>
          <wp:inline distT="0" distB="0" distL="0" distR="0" wp14:anchorId="29195B1F" wp14:editId="59C68F5E">
            <wp:extent cx="5760720" cy="2292985"/>
            <wp:effectExtent l="0" t="0" r="0" b="0"/>
            <wp:docPr id="18321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4566" name=""/>
                    <pic:cNvPicPr/>
                  </pic:nvPicPr>
                  <pic:blipFill>
                    <a:blip r:embed="rId10"/>
                    <a:stretch>
                      <a:fillRect/>
                    </a:stretch>
                  </pic:blipFill>
                  <pic:spPr>
                    <a:xfrm>
                      <a:off x="0" y="0"/>
                      <a:ext cx="5760720" cy="2292985"/>
                    </a:xfrm>
                    <a:prstGeom prst="rect">
                      <a:avLst/>
                    </a:prstGeom>
                  </pic:spPr>
                </pic:pic>
              </a:graphicData>
            </a:graphic>
          </wp:inline>
        </w:drawing>
      </w:r>
    </w:p>
    <w:p w14:paraId="38CC5722" w14:textId="50B6E0A2" w:rsidR="00DD2EA2" w:rsidRDefault="00DD2EA2" w:rsidP="00DE2698">
      <w:r>
        <w:lastRenderedPageBreak/>
        <w:t xml:space="preserve">Krzywe ICC, gdzie każda linia odpowiada </w:t>
      </w:r>
      <w:r w:rsidR="007C5AB0">
        <w:t>innemu zadaniu</w:t>
      </w:r>
      <w:r>
        <w:t xml:space="preserve"> pokazują:</w:t>
      </w:r>
    </w:p>
    <w:p w14:paraId="406D4247" w14:textId="765D5CCF" w:rsidR="00DD2EA2" w:rsidRDefault="00DD2EA2" w:rsidP="00DD2EA2">
      <w:pPr>
        <w:pStyle w:val="ListParagraph"/>
        <w:numPr>
          <w:ilvl w:val="0"/>
          <w:numId w:val="4"/>
        </w:numPr>
      </w:pPr>
      <w:r>
        <w:t>Zbalansowanie skali</w:t>
      </w:r>
      <w:r w:rsidR="007C5AB0">
        <w:t>: krzywe są równomiernie rozłożone wzdłuż osi umiejętności, co oznacza że test skutecznie mierzy zarówno uczniów o niskich kompetencjach, jak i tych zdolniejszych.</w:t>
      </w:r>
    </w:p>
    <w:p w14:paraId="01428311" w14:textId="255F5BDB" w:rsidR="007C5AB0" w:rsidRDefault="007C5AB0" w:rsidP="00DD2EA2">
      <w:pPr>
        <w:pStyle w:val="ListParagraph"/>
        <w:numPr>
          <w:ilvl w:val="0"/>
          <w:numId w:val="4"/>
        </w:numPr>
      </w:pPr>
      <w:r>
        <w:t>Precyzja dyskryminacyjna: wystepowanie stromych krzywych potwierdza, że zadania posiadają wysoką moc informacyją, czyli że niewielka zmiana w poziomie umiejętności ucznia znacząco zmienia prawdopodobieństwo udzielenia poprawnej odpowiedzi.</w:t>
      </w:r>
    </w:p>
    <w:p w14:paraId="52AF2D08" w14:textId="77777777" w:rsidR="007C5AB0" w:rsidRDefault="007C5AB0" w:rsidP="007C5AB0"/>
    <w:p w14:paraId="7C809E68" w14:textId="69806CB2" w:rsidR="007C5AB0" w:rsidRPr="007C5AB0" w:rsidRDefault="007C5AB0" w:rsidP="007C5AB0">
      <w:pPr>
        <w:rPr>
          <w:b/>
          <w:bCs/>
        </w:rPr>
      </w:pPr>
      <w:r>
        <w:t xml:space="preserve">Kod potwierdzający powyższe punkty jest dostępny w sekcji </w:t>
      </w:r>
      <w:r w:rsidRPr="007C5AB0">
        <w:rPr>
          <w:b/>
          <w:bCs/>
        </w:rPr>
        <w:t>IRT - Item Response Theory</w:t>
      </w:r>
      <w:r>
        <w:rPr>
          <w:b/>
          <w:bCs/>
        </w:rPr>
        <w:t xml:space="preserve"> </w:t>
      </w:r>
      <w:r>
        <w:t>w pliku task.ipynb</w:t>
      </w:r>
    </w:p>
    <w:p w14:paraId="7B04D713" w14:textId="77777777" w:rsidR="007C5AB0" w:rsidRDefault="007C5AB0" w:rsidP="007C5AB0"/>
    <w:p w14:paraId="117D4EB1" w14:textId="34902734" w:rsidR="007C5AB0" w:rsidRDefault="007C5AB0" w:rsidP="007C5AB0">
      <w:pPr>
        <w:pStyle w:val="Heading2"/>
      </w:pPr>
      <w:r>
        <w:t>Analiza wskaźnika umiejętności theta</w:t>
      </w:r>
    </w:p>
    <w:p w14:paraId="7781778C" w14:textId="43850D6E" w:rsidR="007C5AB0" w:rsidRDefault="007C5AB0" w:rsidP="007C5AB0">
      <w:r>
        <w:t>Wskaźnik umiejętności został skonstruowany w oparciu o parametry modelu 2PL i został wyestymowany metodą EAP (Expected A Posteriori). Ta metoda jest uznawana za najbardziej stabilną przy małych i średnich zestawach zadań.</w:t>
      </w:r>
    </w:p>
    <w:p w14:paraId="3EB2D4F7" w14:textId="5F5B36B4" w:rsidR="007C5AB0" w:rsidRPr="007C5AB0" w:rsidRDefault="007C5AB0" w:rsidP="007C5AB0">
      <w:r>
        <w:t>Oryginalne wyniki theta z modelu IRT są wyrażone w logitach. Aby zapewnić pełną porównywalność wyników między dwoma terminami pomiaru oraz ułatwić interpretacje siły efektu, zastosowano standaryzacje Z-score. Dzieki temu, każdy współczynnik regresji w modelu końcowym można interpretować bezpośrednio w jednostach odychelnia standardowego. Czyli wynik 0.2 oznacza wzrost o 0.2 odchylenia standardowego względem średniej.</w:t>
      </w:r>
    </w:p>
    <w:p w14:paraId="49C3EF98" w14:textId="77777777" w:rsidR="007C5AB0" w:rsidRDefault="007C5AB0" w:rsidP="007C5AB0"/>
    <w:p w14:paraId="635A7555" w14:textId="77777777" w:rsidR="007C5AB0" w:rsidRDefault="007C5AB0" w:rsidP="007C5AB0">
      <w:r>
        <w:t>Analiza rozkładów wyestymowanych wskaźników potwierdza ich wysoką jakość diagnostyczną:</w:t>
      </w:r>
    </w:p>
    <w:p w14:paraId="75F90FB9" w14:textId="77777777" w:rsidR="007C5AB0" w:rsidRDefault="007C5AB0" w:rsidP="007C5AB0">
      <w:pPr>
        <w:pStyle w:val="ListParagraph"/>
        <w:numPr>
          <w:ilvl w:val="0"/>
          <w:numId w:val="5"/>
        </w:numPr>
      </w:pPr>
      <w:r>
        <w:t>Skośność: wartości skośności są bliskie zeru, co jest kluczowym założeniem dla poprawności modeli liniowych, które posłużą do werfyikacji hipotezy</w:t>
      </w:r>
    </w:p>
    <w:p w14:paraId="7FCE609F" w14:textId="77777777" w:rsidR="007C5AB0" w:rsidRDefault="007C5AB0" w:rsidP="007C5AB0">
      <w:pPr>
        <w:pStyle w:val="ListParagraph"/>
        <w:numPr>
          <w:ilvl w:val="0"/>
          <w:numId w:val="5"/>
        </w:numPr>
      </w:pPr>
      <w:r>
        <w:t>Kortoza: lekko ujemna wartość wskazuje na spłaszczony rozkład wyników uczniów, czyli widać, że w danych pojawia się więcej uczniów słabszych</w:t>
      </w:r>
    </w:p>
    <w:p w14:paraId="74130E8A" w14:textId="5EE212C5" w:rsidR="007C5AB0" w:rsidRDefault="007C5AB0" w:rsidP="007C5AB0">
      <w:pPr>
        <w:pStyle w:val="ListParagraph"/>
        <w:numPr>
          <w:ilvl w:val="0"/>
          <w:numId w:val="5"/>
        </w:numPr>
      </w:pPr>
      <w:r>
        <w:t>Rzetelność empiryczna: wysoka korelacja między theta PreTest i theta PostTest przy jednoczesnym zachowaniu stabilności odchylenia standardowego świadzcy o precyzyjnym i powtarzalnym pomiarze cechy ukrytej</w:t>
      </w:r>
      <w:r>
        <w:br/>
      </w:r>
    </w:p>
    <w:p w14:paraId="28F1BBDD" w14:textId="7EC5D2B8" w:rsidR="007C5AB0" w:rsidRDefault="007C5AB0" w:rsidP="007C5AB0">
      <w:pPr>
        <w:rPr>
          <w:b/>
          <w:bCs/>
        </w:rPr>
      </w:pPr>
    </w:p>
    <w:p w14:paraId="511B874B" w14:textId="77777777" w:rsidR="007C5AB0" w:rsidRDefault="007C5AB0" w:rsidP="007C5AB0">
      <w:pPr>
        <w:rPr>
          <w:b/>
          <w:bCs/>
        </w:rPr>
      </w:pPr>
    </w:p>
    <w:p w14:paraId="42B5DE51" w14:textId="28FCCFAD" w:rsidR="007C5AB0" w:rsidRDefault="007C5AB0" w:rsidP="007C5AB0">
      <w:pPr>
        <w:rPr>
          <w:noProof/>
        </w:rPr>
      </w:pPr>
      <w:r>
        <w:lastRenderedPageBreak/>
        <w:t>Wykres 7. Rozkład ustandaryzowanego theta w PreTest</w:t>
      </w:r>
      <w:r w:rsidRPr="007C5AB0">
        <w:rPr>
          <w:noProof/>
        </w:rPr>
        <w:t xml:space="preserve"> </w:t>
      </w:r>
      <w:r w:rsidRPr="007C5AB0">
        <w:drawing>
          <wp:inline distT="0" distB="0" distL="0" distR="0" wp14:anchorId="2926F1F3" wp14:editId="6812FEF3">
            <wp:extent cx="5760720" cy="2203450"/>
            <wp:effectExtent l="0" t="0" r="0" b="6350"/>
            <wp:docPr id="94272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0023" name=""/>
                    <pic:cNvPicPr/>
                  </pic:nvPicPr>
                  <pic:blipFill>
                    <a:blip r:embed="rId11"/>
                    <a:stretch>
                      <a:fillRect/>
                    </a:stretch>
                  </pic:blipFill>
                  <pic:spPr>
                    <a:xfrm>
                      <a:off x="0" y="0"/>
                      <a:ext cx="5760720" cy="2203450"/>
                    </a:xfrm>
                    <a:prstGeom prst="rect">
                      <a:avLst/>
                    </a:prstGeom>
                  </pic:spPr>
                </pic:pic>
              </a:graphicData>
            </a:graphic>
          </wp:inline>
        </w:drawing>
      </w:r>
    </w:p>
    <w:p w14:paraId="0D896F87" w14:textId="19E6B8AF" w:rsidR="007C5AB0" w:rsidRDefault="007C5AB0" w:rsidP="007C5AB0">
      <w:pPr>
        <w:rPr>
          <w:noProof/>
        </w:rPr>
      </w:pPr>
      <w:r>
        <w:rPr>
          <w:noProof/>
        </w:rPr>
        <w:t>Wykres 8. Rozkład ustandaryzowanego theta w PostTest</w:t>
      </w:r>
    </w:p>
    <w:p w14:paraId="37B4E37A" w14:textId="7B42A889" w:rsidR="007C5AB0" w:rsidRDefault="007C5AB0" w:rsidP="007C5AB0">
      <w:r w:rsidRPr="007C5AB0">
        <w:drawing>
          <wp:inline distT="0" distB="0" distL="0" distR="0" wp14:anchorId="474891B2" wp14:editId="47F3CC1C">
            <wp:extent cx="5760720" cy="2185670"/>
            <wp:effectExtent l="0" t="0" r="0" b="5080"/>
            <wp:docPr id="7481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5638" name=""/>
                    <pic:cNvPicPr/>
                  </pic:nvPicPr>
                  <pic:blipFill>
                    <a:blip r:embed="rId12"/>
                    <a:stretch>
                      <a:fillRect/>
                    </a:stretch>
                  </pic:blipFill>
                  <pic:spPr>
                    <a:xfrm>
                      <a:off x="0" y="0"/>
                      <a:ext cx="5760720" cy="2185670"/>
                    </a:xfrm>
                    <a:prstGeom prst="rect">
                      <a:avLst/>
                    </a:prstGeom>
                  </pic:spPr>
                </pic:pic>
              </a:graphicData>
            </a:graphic>
          </wp:inline>
        </w:drawing>
      </w:r>
    </w:p>
    <w:p w14:paraId="6EF1C49C" w14:textId="4D6A2691" w:rsidR="007C5AB0" w:rsidRPr="007C5AB0" w:rsidRDefault="007C5AB0" w:rsidP="007C5AB0">
      <w:pPr>
        <w:rPr>
          <w:b/>
          <w:bCs/>
        </w:rPr>
      </w:pPr>
      <w:r>
        <w:t xml:space="preserve">Kod potwierdzający powyższe punkty jest dostępny w sekcji </w:t>
      </w:r>
      <w:r w:rsidRPr="007C5AB0">
        <w:rPr>
          <w:b/>
          <w:bCs/>
        </w:rPr>
        <w:t>Wskaźnik umiejętności (theta)</w:t>
      </w:r>
      <w:r>
        <w:rPr>
          <w:b/>
          <w:bCs/>
        </w:rPr>
        <w:t xml:space="preserve"> </w:t>
      </w:r>
      <w:r>
        <w:t>w pliku task.ipynb</w:t>
      </w:r>
    </w:p>
    <w:p w14:paraId="7CA206F4" w14:textId="77777777" w:rsidR="007C5AB0" w:rsidRDefault="007C5AB0" w:rsidP="007C5AB0"/>
    <w:p w14:paraId="175F0707" w14:textId="040DCE3D" w:rsidR="007C5AB0" w:rsidRDefault="007C5AB0" w:rsidP="007C5AB0">
      <w:pPr>
        <w:pStyle w:val="Heading2"/>
      </w:pPr>
      <w:r>
        <w:t>Weryfikacja hipotezy</w:t>
      </w:r>
    </w:p>
    <w:p w14:paraId="409AC705" w14:textId="02F883C7" w:rsidR="007C5AB0" w:rsidRDefault="007C5AB0" w:rsidP="007C5AB0">
      <w:r>
        <w:t xml:space="preserve">Do weryfikacji hipotezy zastosowano liniowy model mieszany z efektem losowym szkoły, który pozwala na uwzględnienie zagnieżdżenia danych (wszyscy uczniowe danej szkoły byli w danej grupie). </w:t>
      </w:r>
    </w:p>
    <w:p w14:paraId="517EA247" w14:textId="4D65A37F" w:rsidR="007C5AB0" w:rsidRDefault="007C5AB0" w:rsidP="007C5AB0">
      <w:r>
        <w:t>Hipoteza do weryfikacji:</w:t>
      </w:r>
    </w:p>
    <w:p w14:paraId="06B52564" w14:textId="44D99B77" w:rsidR="007C5AB0" w:rsidRPr="007C5AB0" w:rsidRDefault="007C5AB0" w:rsidP="007C5AB0">
      <w:r w:rsidRPr="007C5AB0">
        <w:t>Poziom umiejętności matematycznych uczniów w drugim pomiarze jest wyższy w grupie eksperymentalnej niż w grupie kontrolnej, przy kontroli poziomu umiejętności matematycznych przed interwencją.</w:t>
      </w:r>
    </w:p>
    <w:p w14:paraId="1F591D94" w14:textId="77777777" w:rsidR="007C5AB0" w:rsidRDefault="007C5AB0" w:rsidP="007C5AB0"/>
    <w:p w14:paraId="5CEC1C0E" w14:textId="77777777" w:rsidR="007C5AB0" w:rsidRDefault="007C5AB0" w:rsidP="007C5AB0"/>
    <w:p w14:paraId="564405F8" w14:textId="684F61FE" w:rsidR="007C5AB0" w:rsidRDefault="007C5AB0" w:rsidP="007C5AB0">
      <w:r>
        <w:lastRenderedPageBreak/>
        <w:t>Wyniki modelu:</w:t>
      </w:r>
    </w:p>
    <w:p w14:paraId="61918C7F" w14:textId="6B8FC55A" w:rsidR="007C5AB0" w:rsidRPr="007C5AB0" w:rsidRDefault="007C5AB0" w:rsidP="007C5AB0">
      <w:pPr>
        <w:rPr>
          <w:lang w:val="en-GB"/>
        </w:rPr>
      </w:pPr>
      <w:r w:rsidRPr="007C5AB0">
        <w:rPr>
          <w:lang w:val="en-GB"/>
        </w:rPr>
        <w:t xml:space="preserve">            </w:t>
      </w:r>
      <w:r>
        <w:rPr>
          <w:lang w:val="en-GB"/>
        </w:rPr>
        <w:tab/>
      </w:r>
      <w:r>
        <w:rPr>
          <w:lang w:val="en-GB"/>
        </w:rPr>
        <w:tab/>
      </w:r>
      <w:r>
        <w:rPr>
          <w:lang w:val="en-GB"/>
        </w:rPr>
        <w:tab/>
      </w:r>
      <w:r w:rsidRPr="007C5AB0">
        <w:rPr>
          <w:lang w:val="en-GB"/>
        </w:rPr>
        <w:t>Mixed Linear Model Regression Results</w:t>
      </w:r>
    </w:p>
    <w:p w14:paraId="45C121E3" w14:textId="4384A6A7" w:rsidR="007C5AB0" w:rsidRPr="007C5AB0" w:rsidRDefault="007C5AB0" w:rsidP="007C5AB0">
      <w:pPr>
        <w:rPr>
          <w:lang w:val="en-GB"/>
        </w:rPr>
      </w:pPr>
      <w:r w:rsidRPr="007C5AB0">
        <w:rPr>
          <w:lang w:val="en-GB"/>
        </w:rPr>
        <w:t>==============================================================</w:t>
      </w:r>
    </w:p>
    <w:p w14:paraId="35B8C705" w14:textId="19126E34" w:rsidR="007C5AB0" w:rsidRPr="007C5AB0" w:rsidRDefault="007C5AB0" w:rsidP="007C5AB0">
      <w:pPr>
        <w:rPr>
          <w:lang w:val="en-GB"/>
        </w:rPr>
      </w:pPr>
      <w:r w:rsidRPr="007C5AB0">
        <w:rPr>
          <w:lang w:val="en-GB"/>
        </w:rPr>
        <w:t xml:space="preserve">Model:            </w:t>
      </w:r>
      <w:r>
        <w:rPr>
          <w:lang w:val="en-GB"/>
        </w:rPr>
        <w:tab/>
      </w:r>
      <w:r>
        <w:rPr>
          <w:lang w:val="en-GB"/>
        </w:rPr>
        <w:tab/>
      </w:r>
      <w:proofErr w:type="spellStart"/>
      <w:r w:rsidRPr="007C5AB0">
        <w:rPr>
          <w:lang w:val="en-GB"/>
        </w:rPr>
        <w:t>MixedLM</w:t>
      </w:r>
      <w:proofErr w:type="spellEnd"/>
      <w:r w:rsidRPr="007C5AB0">
        <w:rPr>
          <w:lang w:val="en-GB"/>
        </w:rPr>
        <w:t xml:space="preserve"> </w:t>
      </w:r>
      <w:r>
        <w:rPr>
          <w:lang w:val="en-GB"/>
        </w:rPr>
        <w:tab/>
      </w:r>
      <w:r w:rsidRPr="007C5AB0">
        <w:rPr>
          <w:lang w:val="en-GB"/>
        </w:rPr>
        <w:t xml:space="preserve">Dependent Variable: </w:t>
      </w:r>
      <w:r>
        <w:rPr>
          <w:lang w:val="en-GB"/>
        </w:rPr>
        <w:t xml:space="preserve">    </w:t>
      </w:r>
      <w:proofErr w:type="spellStart"/>
      <w:r w:rsidRPr="007C5AB0">
        <w:rPr>
          <w:lang w:val="en-GB"/>
        </w:rPr>
        <w:t>theta_posttest_z</w:t>
      </w:r>
      <w:proofErr w:type="spellEnd"/>
    </w:p>
    <w:p w14:paraId="0CB7C94F" w14:textId="269241CD" w:rsidR="007C5AB0" w:rsidRPr="007C5AB0" w:rsidRDefault="007C5AB0" w:rsidP="007C5AB0">
      <w:pPr>
        <w:rPr>
          <w:lang w:val="en-GB"/>
        </w:rPr>
      </w:pPr>
      <w:r w:rsidRPr="007C5AB0">
        <w:rPr>
          <w:lang w:val="en-GB"/>
        </w:rPr>
        <w:t xml:space="preserve">No. Observations: </w:t>
      </w:r>
      <w:r>
        <w:rPr>
          <w:lang w:val="en-GB"/>
        </w:rPr>
        <w:tab/>
      </w:r>
      <w:r w:rsidRPr="007C5AB0">
        <w:rPr>
          <w:lang w:val="en-GB"/>
        </w:rPr>
        <w:t xml:space="preserve">1224    </w:t>
      </w:r>
      <w:r>
        <w:rPr>
          <w:lang w:val="en-GB"/>
        </w:rPr>
        <w:tab/>
      </w:r>
      <w:r>
        <w:rPr>
          <w:lang w:val="en-GB"/>
        </w:rPr>
        <w:tab/>
      </w:r>
      <w:r w:rsidRPr="007C5AB0">
        <w:rPr>
          <w:lang w:val="en-GB"/>
        </w:rPr>
        <w:t xml:space="preserve">Method:             </w:t>
      </w:r>
      <w:r>
        <w:rPr>
          <w:lang w:val="en-GB"/>
        </w:rPr>
        <w:tab/>
        <w:t xml:space="preserve">     </w:t>
      </w:r>
      <w:r w:rsidRPr="007C5AB0">
        <w:rPr>
          <w:lang w:val="en-GB"/>
        </w:rPr>
        <w:t xml:space="preserve">REML            </w:t>
      </w:r>
    </w:p>
    <w:p w14:paraId="01B2A1E9" w14:textId="7779C2E4" w:rsidR="007C5AB0" w:rsidRPr="007C5AB0" w:rsidRDefault="007C5AB0" w:rsidP="007C5AB0">
      <w:pPr>
        <w:rPr>
          <w:lang w:val="en-GB"/>
        </w:rPr>
      </w:pPr>
      <w:r w:rsidRPr="007C5AB0">
        <w:rPr>
          <w:lang w:val="en-GB"/>
        </w:rPr>
        <w:t xml:space="preserve">No. Groups:       </w:t>
      </w:r>
      <w:r>
        <w:rPr>
          <w:lang w:val="en-GB"/>
        </w:rPr>
        <w:tab/>
      </w:r>
      <w:r w:rsidRPr="007C5AB0">
        <w:rPr>
          <w:lang w:val="en-GB"/>
        </w:rPr>
        <w:t xml:space="preserve">161     </w:t>
      </w:r>
      <w:r>
        <w:rPr>
          <w:lang w:val="en-GB"/>
        </w:rPr>
        <w:tab/>
      </w:r>
      <w:r>
        <w:rPr>
          <w:lang w:val="en-GB"/>
        </w:rPr>
        <w:tab/>
      </w:r>
      <w:r w:rsidRPr="007C5AB0">
        <w:rPr>
          <w:lang w:val="en-GB"/>
        </w:rPr>
        <w:t xml:space="preserve">Scale:              </w:t>
      </w:r>
      <w:r>
        <w:rPr>
          <w:lang w:val="en-GB"/>
        </w:rPr>
        <w:tab/>
      </w:r>
      <w:r>
        <w:rPr>
          <w:lang w:val="en-GB"/>
        </w:rPr>
        <w:tab/>
        <w:t xml:space="preserve">     </w:t>
      </w:r>
      <w:r w:rsidRPr="007C5AB0">
        <w:rPr>
          <w:lang w:val="en-GB"/>
        </w:rPr>
        <w:t xml:space="preserve">0.4328          </w:t>
      </w:r>
    </w:p>
    <w:p w14:paraId="3CFA22B0" w14:textId="10F2D255" w:rsidR="007C5AB0" w:rsidRPr="007C5AB0" w:rsidRDefault="007C5AB0" w:rsidP="007C5AB0">
      <w:pPr>
        <w:rPr>
          <w:lang w:val="en-GB"/>
        </w:rPr>
      </w:pPr>
      <w:r w:rsidRPr="007C5AB0">
        <w:rPr>
          <w:lang w:val="en-GB"/>
        </w:rPr>
        <w:t xml:space="preserve">Min. group size:  </w:t>
      </w:r>
      <w:r>
        <w:rPr>
          <w:lang w:val="en-GB"/>
        </w:rPr>
        <w:tab/>
      </w:r>
      <w:r w:rsidRPr="007C5AB0">
        <w:rPr>
          <w:lang w:val="en-GB"/>
        </w:rPr>
        <w:t xml:space="preserve">5       </w:t>
      </w:r>
      <w:r>
        <w:rPr>
          <w:lang w:val="en-GB"/>
        </w:rPr>
        <w:tab/>
      </w:r>
      <w:r>
        <w:rPr>
          <w:lang w:val="en-GB"/>
        </w:rPr>
        <w:tab/>
      </w:r>
      <w:r w:rsidRPr="007C5AB0">
        <w:rPr>
          <w:lang w:val="en-GB"/>
        </w:rPr>
        <w:t xml:space="preserve">Log-Likelihood:     </w:t>
      </w:r>
      <w:r>
        <w:rPr>
          <w:lang w:val="en-GB"/>
        </w:rPr>
        <w:tab/>
        <w:t xml:space="preserve">     </w:t>
      </w:r>
      <w:r w:rsidRPr="007C5AB0">
        <w:rPr>
          <w:lang w:val="en-GB"/>
        </w:rPr>
        <w:t xml:space="preserve">-1307.0393      </w:t>
      </w:r>
    </w:p>
    <w:p w14:paraId="631198DF" w14:textId="0F7E8AA4" w:rsidR="007C5AB0" w:rsidRPr="007C5AB0" w:rsidRDefault="007C5AB0" w:rsidP="007C5AB0">
      <w:pPr>
        <w:rPr>
          <w:lang w:val="en-GB"/>
        </w:rPr>
      </w:pPr>
      <w:r w:rsidRPr="007C5AB0">
        <w:rPr>
          <w:lang w:val="en-GB"/>
        </w:rPr>
        <w:t xml:space="preserve">Max. group size:  </w:t>
      </w:r>
      <w:r>
        <w:rPr>
          <w:lang w:val="en-GB"/>
        </w:rPr>
        <w:tab/>
      </w:r>
      <w:r w:rsidRPr="007C5AB0">
        <w:rPr>
          <w:lang w:val="en-GB"/>
        </w:rPr>
        <w:t xml:space="preserve">24      </w:t>
      </w:r>
      <w:r>
        <w:rPr>
          <w:lang w:val="en-GB"/>
        </w:rPr>
        <w:tab/>
      </w:r>
      <w:r>
        <w:rPr>
          <w:lang w:val="en-GB"/>
        </w:rPr>
        <w:tab/>
      </w:r>
      <w:r w:rsidRPr="007C5AB0">
        <w:rPr>
          <w:lang w:val="en-GB"/>
        </w:rPr>
        <w:t xml:space="preserve">Converged:          </w:t>
      </w:r>
      <w:r>
        <w:rPr>
          <w:lang w:val="en-GB"/>
        </w:rPr>
        <w:tab/>
        <w:t xml:space="preserve">     </w:t>
      </w:r>
      <w:r w:rsidRPr="007C5AB0">
        <w:rPr>
          <w:lang w:val="en-GB"/>
        </w:rPr>
        <w:t xml:space="preserve">No              </w:t>
      </w:r>
    </w:p>
    <w:p w14:paraId="3522992D" w14:textId="1B2BB514" w:rsidR="007C5AB0" w:rsidRPr="007C5AB0" w:rsidRDefault="007C5AB0" w:rsidP="007C5AB0">
      <w:pPr>
        <w:rPr>
          <w:lang w:val="en-GB"/>
        </w:rPr>
      </w:pPr>
      <w:r w:rsidRPr="007C5AB0">
        <w:rPr>
          <w:lang w:val="en-GB"/>
        </w:rPr>
        <w:t xml:space="preserve">Mean group size:  </w:t>
      </w:r>
      <w:r>
        <w:rPr>
          <w:lang w:val="en-GB"/>
        </w:rPr>
        <w:tab/>
      </w:r>
      <w:r w:rsidRPr="007C5AB0">
        <w:rPr>
          <w:lang w:val="en-GB"/>
        </w:rPr>
        <w:t xml:space="preserve">7.6                                         </w:t>
      </w:r>
    </w:p>
    <w:p w14:paraId="0B5B17FC" w14:textId="0A3CDB5A" w:rsidR="007C5AB0" w:rsidRPr="007C5AB0" w:rsidRDefault="007C5AB0" w:rsidP="007C5AB0">
      <w:r w:rsidRPr="007C5AB0">
        <w:t>---------------------------------------------------------------</w:t>
      </w:r>
      <w:r>
        <w:t>---------------------------------</w:t>
      </w:r>
    </w:p>
    <w:p w14:paraId="40B3E0B5" w14:textId="7A7AC5CC" w:rsidR="007C5AB0" w:rsidRPr="007C5AB0" w:rsidRDefault="007C5AB0" w:rsidP="007C5AB0">
      <w:r w:rsidRPr="007C5AB0">
        <w:t xml:space="preserve">                 </w:t>
      </w:r>
      <w:r>
        <w:tab/>
      </w:r>
      <w:r>
        <w:tab/>
      </w:r>
      <w:r w:rsidRPr="007C5AB0">
        <w:t xml:space="preserve">Coef.  </w:t>
      </w:r>
      <w:r>
        <w:tab/>
        <w:t xml:space="preserve"> </w:t>
      </w:r>
      <w:r>
        <w:tab/>
      </w:r>
      <w:r w:rsidRPr="007C5AB0">
        <w:t xml:space="preserve">Std.Err.    </w:t>
      </w:r>
      <w:r>
        <w:tab/>
      </w:r>
      <w:r w:rsidRPr="007C5AB0">
        <w:t xml:space="preserve">z     </w:t>
      </w:r>
      <w:r>
        <w:tab/>
        <w:t xml:space="preserve">    </w:t>
      </w:r>
      <w:r>
        <w:tab/>
      </w:r>
      <w:r w:rsidRPr="007C5AB0">
        <w:t xml:space="preserve">P&gt;|z| </w:t>
      </w:r>
    </w:p>
    <w:p w14:paraId="4FC06881" w14:textId="023E7423" w:rsidR="007C5AB0" w:rsidRPr="007C5AB0" w:rsidRDefault="007C5AB0" w:rsidP="007C5AB0">
      <w:r w:rsidRPr="007C5AB0">
        <w:t>---------------------------------------------------------------</w:t>
      </w:r>
      <w:r>
        <w:t>---------------------------------</w:t>
      </w:r>
    </w:p>
    <w:p w14:paraId="2375F428" w14:textId="5DED7A54" w:rsidR="007C5AB0" w:rsidRPr="007C5AB0" w:rsidRDefault="007C5AB0" w:rsidP="007C5AB0">
      <w:r w:rsidRPr="007C5AB0">
        <w:t xml:space="preserve">Intercept        </w:t>
      </w:r>
      <w:r>
        <w:tab/>
      </w:r>
      <w:r>
        <w:tab/>
      </w:r>
      <w:r w:rsidRPr="007C5AB0">
        <w:t xml:space="preserve">0.000     </w:t>
      </w:r>
      <w:r>
        <w:tab/>
      </w:r>
      <w:r w:rsidRPr="007C5AB0">
        <w:t xml:space="preserve">0.045   </w:t>
      </w:r>
      <w:r>
        <w:tab/>
      </w:r>
      <w:r w:rsidRPr="007C5AB0">
        <w:t xml:space="preserve">0.002  </w:t>
      </w:r>
      <w:r>
        <w:tab/>
      </w:r>
      <w:r>
        <w:tab/>
      </w:r>
      <w:r w:rsidRPr="007C5AB0">
        <w:t xml:space="preserve">0.999 </w:t>
      </w:r>
    </w:p>
    <w:p w14:paraId="7F246D75" w14:textId="3B405C4B" w:rsidR="007C5AB0" w:rsidRPr="007C5AB0" w:rsidRDefault="007C5AB0" w:rsidP="007C5AB0">
      <w:r w:rsidRPr="007C5AB0">
        <w:t xml:space="preserve">grupa            </w:t>
      </w:r>
      <w:r>
        <w:tab/>
      </w:r>
      <w:r>
        <w:tab/>
      </w:r>
      <w:r w:rsidRPr="007C5AB0">
        <w:t xml:space="preserve">0.004     </w:t>
      </w:r>
      <w:r>
        <w:tab/>
      </w:r>
      <w:r w:rsidRPr="007C5AB0">
        <w:t xml:space="preserve">0.062   </w:t>
      </w:r>
      <w:r>
        <w:tab/>
      </w:r>
      <w:r w:rsidRPr="007C5AB0">
        <w:t xml:space="preserve">0.062  </w:t>
      </w:r>
      <w:r>
        <w:tab/>
      </w:r>
      <w:r>
        <w:tab/>
      </w:r>
      <w:r w:rsidRPr="007C5AB0">
        <w:t>0.951</w:t>
      </w:r>
    </w:p>
    <w:p w14:paraId="338813EC" w14:textId="2F2188B5" w:rsidR="007C5AB0" w:rsidRPr="007C5AB0" w:rsidRDefault="007C5AB0" w:rsidP="007C5AB0">
      <w:r w:rsidRPr="007C5AB0">
        <w:t xml:space="preserve">theta_pretest_z  </w:t>
      </w:r>
      <w:r>
        <w:tab/>
      </w:r>
      <w:r w:rsidRPr="007C5AB0">
        <w:t xml:space="preserve">0.701     </w:t>
      </w:r>
      <w:r>
        <w:tab/>
      </w:r>
      <w:r w:rsidRPr="007C5AB0">
        <w:t xml:space="preserve">0.020  </w:t>
      </w:r>
      <w:r>
        <w:tab/>
      </w:r>
      <w:r>
        <w:tab/>
      </w:r>
      <w:r w:rsidRPr="007C5AB0">
        <w:t xml:space="preserve">34.807  </w:t>
      </w:r>
      <w:r>
        <w:tab/>
      </w:r>
      <w:r w:rsidRPr="007C5AB0">
        <w:t xml:space="preserve">0.000 </w:t>
      </w:r>
    </w:p>
    <w:p w14:paraId="0671064D" w14:textId="13847AEB" w:rsidR="007C5AB0" w:rsidRPr="007C5AB0" w:rsidRDefault="007C5AB0" w:rsidP="007C5AB0">
      <w:pPr>
        <w:pBdr>
          <w:bottom w:val="double" w:sz="6" w:space="1" w:color="auto"/>
        </w:pBdr>
      </w:pPr>
      <w:r w:rsidRPr="007C5AB0">
        <w:t xml:space="preserve">Group Var        </w:t>
      </w:r>
      <w:r>
        <w:tab/>
      </w:r>
      <w:r w:rsidRPr="007C5AB0">
        <w:t xml:space="preserve">0.094     </w:t>
      </w:r>
      <w:r>
        <w:tab/>
      </w:r>
      <w:r w:rsidRPr="007C5AB0">
        <w:t xml:space="preserve">0.037                               </w:t>
      </w:r>
    </w:p>
    <w:p w14:paraId="73EDF4B8" w14:textId="77777777" w:rsidR="007C5AB0" w:rsidRDefault="007C5AB0" w:rsidP="007C5AB0"/>
    <w:p w14:paraId="39D9643F" w14:textId="7D6AB3A5" w:rsidR="007C5AB0" w:rsidRDefault="007C5AB0" w:rsidP="007C5AB0">
      <w:r>
        <w:t>Wyniki modelu pokazują, że:</w:t>
      </w:r>
    </w:p>
    <w:p w14:paraId="5D113D08" w14:textId="77765AF0" w:rsidR="007C5AB0" w:rsidRDefault="007C5AB0" w:rsidP="007C5AB0">
      <w:pPr>
        <w:pStyle w:val="ListParagraph"/>
        <w:numPr>
          <w:ilvl w:val="0"/>
          <w:numId w:val="6"/>
        </w:numPr>
      </w:pPr>
      <w:r>
        <w:t>Współczynnik dla grupy eksperymentalnej (grupa) wyniósł 0.004 (p-value = 0.95). Hipoteza o pozytywnym wpływie narzędzi cyfrowych została odrzucona. Różnica między grupami jest nieistotna.</w:t>
      </w:r>
    </w:p>
    <w:p w14:paraId="70562A48" w14:textId="77777777" w:rsidR="007C5AB0" w:rsidRDefault="007C5AB0" w:rsidP="007C5AB0">
      <w:pPr>
        <w:pStyle w:val="ListParagraph"/>
        <w:numPr>
          <w:ilvl w:val="0"/>
          <w:numId w:val="6"/>
        </w:numPr>
      </w:pPr>
      <w:r>
        <w:t>Najsilniejszym i jedynym istotnym predyktorem jest poziom wiedzy wyjściowej (</w:t>
      </w:r>
      <w:r w:rsidRPr="007C5AB0">
        <w:t>theta_pretest_z</w:t>
      </w:r>
      <w:r>
        <w:t>), który wyniósł 0.7. Oznacza to, że 70% wyniku końcowego jest zakotwiczone w wiedzy ucznia sprzed eksperymentu.</w:t>
      </w:r>
    </w:p>
    <w:p w14:paraId="18B30928" w14:textId="74480753" w:rsidR="007C5AB0" w:rsidRDefault="007C5AB0" w:rsidP="007C5AB0">
      <w:pPr>
        <w:pStyle w:val="ListParagraph"/>
        <w:numPr>
          <w:ilvl w:val="0"/>
          <w:numId w:val="6"/>
        </w:numPr>
      </w:pPr>
      <w:r>
        <w:t xml:space="preserve">Wariancja między szkołami (Group Var) wynosząca 0.09 potwierdza, że </w:t>
      </w:r>
      <w:r w:rsidR="004D2951">
        <w:t>ok. 17% zmienności wyników zależy od kontekstu szkolnego, co uzasadnia wybór modeli mieszanych ponad zwykłą regresją.</w:t>
      </w:r>
      <w:r w:rsidRPr="007C5AB0">
        <w:t xml:space="preserve">  </w:t>
      </w:r>
    </w:p>
    <w:p w14:paraId="0483C50C" w14:textId="4E2B0033" w:rsidR="007C5AB0" w:rsidRDefault="004D2951" w:rsidP="007C5AB0">
      <w:r>
        <w:br w:type="page"/>
      </w:r>
    </w:p>
    <w:p w14:paraId="4358C76C" w14:textId="3DFCC17A" w:rsidR="007C5AB0" w:rsidRDefault="004D2951" w:rsidP="004D2951">
      <w:pPr>
        <w:pStyle w:val="Heading2"/>
      </w:pPr>
      <w:r>
        <w:lastRenderedPageBreak/>
        <w:t>Podsumowanie</w:t>
      </w:r>
    </w:p>
    <w:p w14:paraId="57E92A61" w14:textId="2718AA06" w:rsidR="004D2951" w:rsidRPr="004D2951" w:rsidRDefault="004D2951" w:rsidP="004D2951">
      <w:r>
        <w:t>Badanie nie wykazało, aby wprowadzenie narzędzi cyfrowych istotnie podnosiło poziom umiejętności matematcyznych w krótkim terminie. Wyniki sugerują, że biegłość matematyczna jest cechą stabilną, silnie zależną od kompetencji bazowych uczniów. Dodatkowo kontekst szkoły ma znacznie większe znaczenie dla wyniku ucznia niż sama obecność oprogramowania edukacyjnego.</w:t>
      </w:r>
    </w:p>
    <w:sectPr w:rsidR="004D2951" w:rsidRPr="004D29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8B0"/>
    <w:multiLevelType w:val="hybridMultilevel"/>
    <w:tmpl w:val="C4BAA21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4791A11"/>
    <w:multiLevelType w:val="hybridMultilevel"/>
    <w:tmpl w:val="681A4E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17B7496"/>
    <w:multiLevelType w:val="hybridMultilevel"/>
    <w:tmpl w:val="B8FC09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24E0993"/>
    <w:multiLevelType w:val="hybridMultilevel"/>
    <w:tmpl w:val="0AC6AF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6308013A"/>
    <w:multiLevelType w:val="hybridMultilevel"/>
    <w:tmpl w:val="56742D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7520245F"/>
    <w:multiLevelType w:val="hybridMultilevel"/>
    <w:tmpl w:val="09A415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763798349">
    <w:abstractNumId w:val="0"/>
  </w:num>
  <w:num w:numId="2" w16cid:durableId="952596668">
    <w:abstractNumId w:val="1"/>
  </w:num>
  <w:num w:numId="3" w16cid:durableId="932471098">
    <w:abstractNumId w:val="2"/>
  </w:num>
  <w:num w:numId="4" w16cid:durableId="614604514">
    <w:abstractNumId w:val="5"/>
  </w:num>
  <w:num w:numId="5" w16cid:durableId="1182670377">
    <w:abstractNumId w:val="3"/>
  </w:num>
  <w:num w:numId="6" w16cid:durableId="1195340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8E"/>
    <w:rsid w:val="00064A8E"/>
    <w:rsid w:val="003F3417"/>
    <w:rsid w:val="00470368"/>
    <w:rsid w:val="004D2951"/>
    <w:rsid w:val="007C5AB0"/>
    <w:rsid w:val="00B231E5"/>
    <w:rsid w:val="00B64594"/>
    <w:rsid w:val="00D0542F"/>
    <w:rsid w:val="00DD2EA2"/>
    <w:rsid w:val="00DE269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E494"/>
  <w15:chartTrackingRefBased/>
  <w15:docId w15:val="{62927EF5-56CF-42B3-AC78-884CA37B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AB0"/>
  </w:style>
  <w:style w:type="paragraph" w:styleId="Heading1">
    <w:name w:val="heading 1"/>
    <w:basedOn w:val="Normal"/>
    <w:next w:val="Normal"/>
    <w:link w:val="Heading1Char"/>
    <w:uiPriority w:val="9"/>
    <w:qFormat/>
    <w:rsid w:val="00064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4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4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8E"/>
    <w:rPr>
      <w:rFonts w:eastAsiaTheme="majorEastAsia" w:cstheme="majorBidi"/>
      <w:color w:val="272727" w:themeColor="text1" w:themeTint="D8"/>
    </w:rPr>
  </w:style>
  <w:style w:type="paragraph" w:styleId="Title">
    <w:name w:val="Title"/>
    <w:basedOn w:val="Normal"/>
    <w:next w:val="Normal"/>
    <w:link w:val="TitleChar"/>
    <w:uiPriority w:val="10"/>
    <w:qFormat/>
    <w:rsid w:val="0006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A8E"/>
    <w:pPr>
      <w:spacing w:before="160"/>
      <w:jc w:val="center"/>
    </w:pPr>
    <w:rPr>
      <w:i/>
      <w:iCs/>
      <w:color w:val="404040" w:themeColor="text1" w:themeTint="BF"/>
    </w:rPr>
  </w:style>
  <w:style w:type="character" w:customStyle="1" w:styleId="QuoteChar">
    <w:name w:val="Quote Char"/>
    <w:basedOn w:val="DefaultParagraphFont"/>
    <w:link w:val="Quote"/>
    <w:uiPriority w:val="29"/>
    <w:rsid w:val="00064A8E"/>
    <w:rPr>
      <w:i/>
      <w:iCs/>
      <w:color w:val="404040" w:themeColor="text1" w:themeTint="BF"/>
    </w:rPr>
  </w:style>
  <w:style w:type="paragraph" w:styleId="ListParagraph">
    <w:name w:val="List Paragraph"/>
    <w:basedOn w:val="Normal"/>
    <w:uiPriority w:val="34"/>
    <w:qFormat/>
    <w:rsid w:val="00064A8E"/>
    <w:pPr>
      <w:ind w:left="720"/>
      <w:contextualSpacing/>
    </w:pPr>
  </w:style>
  <w:style w:type="character" w:styleId="IntenseEmphasis">
    <w:name w:val="Intense Emphasis"/>
    <w:basedOn w:val="DefaultParagraphFont"/>
    <w:uiPriority w:val="21"/>
    <w:qFormat/>
    <w:rsid w:val="00064A8E"/>
    <w:rPr>
      <w:i/>
      <w:iCs/>
      <w:color w:val="0F4761" w:themeColor="accent1" w:themeShade="BF"/>
    </w:rPr>
  </w:style>
  <w:style w:type="paragraph" w:styleId="IntenseQuote">
    <w:name w:val="Intense Quote"/>
    <w:basedOn w:val="Normal"/>
    <w:next w:val="Normal"/>
    <w:link w:val="IntenseQuoteChar"/>
    <w:uiPriority w:val="30"/>
    <w:qFormat/>
    <w:rsid w:val="00064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A8E"/>
    <w:rPr>
      <w:i/>
      <w:iCs/>
      <w:color w:val="0F4761" w:themeColor="accent1" w:themeShade="BF"/>
    </w:rPr>
  </w:style>
  <w:style w:type="character" w:styleId="IntenseReference">
    <w:name w:val="Intense Reference"/>
    <w:basedOn w:val="DefaultParagraphFont"/>
    <w:uiPriority w:val="32"/>
    <w:qFormat/>
    <w:rsid w:val="00064A8E"/>
    <w:rPr>
      <w:b/>
      <w:bCs/>
      <w:smallCaps/>
      <w:color w:val="0F4761" w:themeColor="accent1" w:themeShade="BF"/>
      <w:spacing w:val="5"/>
    </w:rPr>
  </w:style>
  <w:style w:type="table" w:styleId="TableGrid">
    <w:name w:val="Table Grid"/>
    <w:basedOn w:val="TableNormal"/>
    <w:uiPriority w:val="39"/>
    <w:rsid w:val="00064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1307</Words>
  <Characters>6968</Characters>
  <Application>Microsoft Office Word</Application>
  <DocSecurity>0</DocSecurity>
  <Lines>217</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Kasztelanic</dc:creator>
  <cp:keywords/>
  <dc:description/>
  <cp:lastModifiedBy>Maciej Kasztelanic</cp:lastModifiedBy>
  <cp:revision>1</cp:revision>
  <cp:lastPrinted>2026-03-08T16:52:00Z</cp:lastPrinted>
  <dcterms:created xsi:type="dcterms:W3CDTF">2026-03-08T15:35:00Z</dcterms:created>
  <dcterms:modified xsi:type="dcterms:W3CDTF">2026-03-08T16:53:00Z</dcterms:modified>
</cp:coreProperties>
</file>