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ageBreakBefore/>
      </w:pPr>
      <w:r>
        <w:t>INTRODUCTION</w:t>
      </w:r>
    </w:p>
    <w:p w14:paraId="5BB1EE19" w14:textId="77777777" w:rsidR="002411F1" w:rsidRPr="005E7D59" w:rsidRDefault="002411F1" w:rsidP="002411F1">
      <w:pPr>
        <w:pStyle w:val="maintext0"/>
      </w:pPr>
      <w:r>
        <w:tab/>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t>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r>
        <w:t>In light of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t>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consumer behaviour and branding. The thesis concludes with a summary of findings, managerial recommendations, and suggestions for future research.</w:t>
      </w:r>
    </w:p>
    <w:p w14:paraId="39B72DA3" w14:textId="32708BF3" w:rsidR="002411F1" w:rsidRPr="00CE5C71" w:rsidRDefault="002411F1" w:rsidP="00CE5C71">
      <w:pPr>
        <w:pStyle w:val="chaptertitles"/>
        <w:pageBreakBefore/>
      </w:pPr>
      <w:r>
        <w:t>CHAPTER I</w:t>
      </w:r>
    </w:p>
    <w:p w14:paraId="435EA7B2" w14:textId="77777777" w:rsidR="002411F1" w:rsidRPr="00CE5C71" w:rsidRDefault="002411F1" w:rsidP="00CE5C71">
      <w:pPr>
        <w:pStyle w:val="chaptertitles"/>
      </w:pPr>
      <w:r>
        <w:t>Theoretical framework of consumer choice and willingness to pay</w:t>
      </w:r>
    </w:p>
    <w:p w14:paraId="37CABEB7" w14:textId="77777777" w:rsidR="002411F1" w:rsidRPr="005E7D59" w:rsidRDefault="002411F1" w:rsidP="002411F1">
      <w:pPr>
        <w:pStyle w:val="subchaptertitleslevel2"/>
      </w:pPr>
      <w:r>
        <w:t>Foundations of economic theory</w:t>
      </w:r>
    </w:p>
    <w:p w14:paraId="2FD06BC4" w14:textId="77777777" w:rsidR="002411F1" w:rsidRPr="005E7D59" w:rsidRDefault="002411F1" w:rsidP="002411F1">
      <w:pPr>
        <w:pStyle w:val="maintext0"/>
      </w:pPr>
      <w:r>
        <w:t>Demand and supply are two economic forces that drive the market. The dynamic interplay between supply and demand determines the market-clearing price at which these forces balance (Economics 2020).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(Friedman 2017),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7BA9793C" w14:textId="77777777" w:rsidR="002411F1" w:rsidRPr="005E7D59" w:rsidRDefault="002411F1" w:rsidP="002411F1">
      <w:pPr>
        <w:pStyle w:val="subchaptertitleslevel3"/>
      </w:pPr>
      <w:r>
        <w:t>1.1.1 Price mechanism and demand theory</w:t>
      </w:r>
    </w:p>
    <w:p w14:paraId="32C71CE3" w14:textId="77777777" w:rsidR="002411F1" w:rsidRPr="005E7D59" w:rsidRDefault="002411F1" w:rsidP="002411F1">
      <w:pPr>
        <w:pStyle w:val="maintext0"/>
      </w:pPr>
      <w:r>
        <w:t>According to Kotler and Armstrong (Kotler et al. 2015),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(Landsburg 1999).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t>Another important function of prices is to transmit information that signals consumer preferences, resource distribution, and potential profitability (Friedman 2017). This information is crucial for producers and consumers to make informed decisions, facilitating coordination across the economy. Prices adjust to reflect changes in supply and demand, thereby allocating resources where they are most valued (Landsburg 1999).</w:t>
      </w:r>
    </w:p>
    <w:p w14:paraId="2FD25E01" w14:textId="77777777" w:rsidR="002411F1" w:rsidRPr="005E7D59" w:rsidRDefault="002411F1" w:rsidP="002411F1">
      <w:pPr>
        <w:pStyle w:val="maintext0"/>
      </w:pPr>
      <w:r>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57F5665E" w14:textId="77777777" w:rsidR="002411F1" w:rsidRPr="005E7D59" w:rsidRDefault="002411F1" w:rsidP="002411F1">
      <w:pPr>
        <w:pStyle w:val="Figure"/>
        <w:rPr>
          <w:lang w:val="en-GB"/>
        </w:rPr>
      </w:pPr>
      <w:r>
        <w:t>Figure 1.1 Demand and Supply curves with equilibrium point</w:t>
      </w:r>
    </w:p>
    <w:p w14:paraId="49EC3F05" w14:textId="77777777" w:rsidR="002411F1" w:rsidRPr="005E7D59" w:rsidRDefault="002411F1" w:rsidP="002411F1">
      <w:pPr>
        <w:pStyle w:val="sourcetext"/>
      </w:pPr>
      <w:r>
        <w:t>Source: Own study, based on: N.G. Mankiw “Economics”, Cengage Learning, Andover, 2020.</w:t>
      </w:r>
    </w:p>
    <w:p w14:paraId="6BEF3221" w14:textId="77777777" w:rsidR="002411F1" w:rsidRPr="005E7D59" w:rsidRDefault="002411F1" w:rsidP="002411F1">
      <w:pPr>
        <w:pStyle w:val="maintext0"/>
      </w:pPr>
      <w:r>
        <w:t>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(Landsburg 1999).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t>Furthermore, the elasticity of demand and supply plays a crucial role in determining the extent of these changes (Houthakker 1965). For demand, elasticity measures the 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239E63D6" w14:textId="77777777" w:rsidR="002411F1" w:rsidRPr="005E7D59" w:rsidRDefault="002411F1" w:rsidP="002411F1">
      <w:pPr>
        <w:pStyle w:val="subchaptertitleslevel3"/>
      </w:pPr>
      <w:r>
        <w:t>1.1.2 Consumer utility theory</w:t>
      </w:r>
    </w:p>
    <w:p w14:paraId="65CCA233" w14:textId="77777777" w:rsidR="002411F1" w:rsidRPr="005E7D59" w:rsidRDefault="002411F1" w:rsidP="002411F1">
      <w:pPr>
        <w:pStyle w:val="maintext0"/>
      </w:pPr>
      <w:r>
        <w:t>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(Barberà et al. 2004). Total utility represents the cumulative satisfaction obtained from consuming a specific quantity of a good, while marginal utility refers to the additional satisfaction gained from consuming one extra unit of that good (Kauder 2015).</w:t>
      </w:r>
    </w:p>
    <w:p w14:paraId="76776DF1" w14:textId="77777777" w:rsidR="002411F1" w:rsidRPr="005E7D59" w:rsidRDefault="002411F1" w:rsidP="002411F1">
      <w:pPr>
        <w:pStyle w:val="maintext0"/>
      </w:pPr>
      <w:r>
        <w:t>To maximize their overall satisfaction, consumers aim to maximize their utility. This involves making decisions that provide the highest possible satisfaction within the constraints of their resources. The principle of utility maximization (Aleskerov et al. 2007)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t>This relationship can be mathematically expressed as:</w:t>
      </w:r>
    </w:p>
    <w:p w14:paraId="56E55F93" w14:textId="77777777" w:rsidR="002411F1" w:rsidRPr="005E7D59" w:rsidRDefault="002411F1" w:rsidP="002411F1">
      <w:pPr>
        <w:pStyle w:val="maintext0"/>
        <w:rPr>
          <w:rFonts w:eastAsiaTheme="minorEastAsia"/>
        </w:rPr>
      </w:pPr>
      <w:r>
        <w:t>where:</w:t>
      </w:r>
    </w:p>
    <w:p w14:paraId="3890637E" w14:textId="77777777" w:rsidR="002411F1" w:rsidRPr="005E7D59" w:rsidRDefault="002411F1" w:rsidP="002411F1">
      <w:pPr>
        <w:pStyle w:val="maintext0"/>
        <w:rPr>
          <w:rFonts w:eastAsiaTheme="minorEastAsia"/>
        </w:rPr>
      </w:pPr>
      <w:r>
        <w:t>MU – represents the marginal utility, and</w:t>
      </w:r>
    </w:p>
    <w:p w14:paraId="1645B17E" w14:textId="77777777" w:rsidR="002411F1" w:rsidRPr="005E7D59" w:rsidRDefault="002411F1" w:rsidP="002411F1">
      <w:pPr>
        <w:pStyle w:val="maintext0"/>
        <w:rPr>
          <w:rFonts w:eastAsiaTheme="minorEastAsia"/>
        </w:rPr>
      </w:pPr>
      <w:r>
        <w:t>P – represents the price of goods X and Y.</w:t>
      </w:r>
    </w:p>
    <w:p w14:paraId="256E7EC9" w14:textId="77777777" w:rsidR="002411F1" w:rsidRPr="005E7D59" w:rsidRDefault="002411F1" w:rsidP="002411F1">
      <w:pPr>
        <w:pStyle w:val="maintext0"/>
      </w:pPr>
      <w:r>
        <w:t>Under conditions of uncertainty, consumers cannot be sure of the actual satisfaction they will derive from consumption. Expected utility theory (Grant and Van Zandt 2007) is a mathematically structured approach that explains how consumers make decisions under uncertainty. The expected utility for each alternative is calculated as a weighted sum of the 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(Grant and Van Zandt 2007). However, this is not the only perspective; behavioural economics offers an alternative view, which is discussed in the following section.</w:t>
      </w:r>
    </w:p>
    <w:p w14:paraId="50CBAD57" w14:textId="77777777" w:rsidR="002411F1" w:rsidRPr="005E7D59" w:rsidRDefault="002411F1" w:rsidP="002411F1">
      <w:pPr>
        <w:pStyle w:val="subchaptertitleslevel2"/>
      </w:pPr>
      <w:r>
        <w:t>1.2 Consumer decision-making process</w:t>
      </w:r>
    </w:p>
    <w:p w14:paraId="2B1AC743" w14:textId="77777777" w:rsidR="002411F1" w:rsidRPr="005E7D59" w:rsidRDefault="002411F1" w:rsidP="002411F1">
      <w:pPr>
        <w:pStyle w:val="maintext0"/>
      </w:pPr>
      <w:r>
        <w:t>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(Earl 1986). In this context, each agent behaves uniquely as a consumer, shaped by personal preferences and the socio-economic environment in which they operate (Schwarz et al. 2020).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t>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(Camerer 2014).</w:t>
      </w:r>
    </w:p>
    <w:p w14:paraId="6CB81A31" w14:textId="77777777" w:rsidR="002411F1" w:rsidRPr="005E7D59" w:rsidRDefault="002411F1" w:rsidP="002411F1">
      <w:pPr>
        <w:pStyle w:val="maintext0"/>
      </w:pPr>
      <w:r>
        <w:t>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(Beatty 2023). Later, Kahneman and Tversky (1973) refined these ideas by breaking down decision-making into components such as judgments, framings, and reference dependences (Kahneman and Tversky 1973). Richard Thaler further advanced the field by integrating psychological concepts, such as mental accounting and the endowment effect into economic models, thereby challenging the idea of the fully rational consumer (Beatty 2023). Consequently, the study of decision-making now consists of both real choices with tangible outcomes and hypothetical choices that are not followed by actual actions.</w:t>
      </w:r>
    </w:p>
    <w:p w14:paraId="23FA5D37" w14:textId="77777777" w:rsidR="002411F1" w:rsidRPr="005E7D59" w:rsidRDefault="002411F1" w:rsidP="002411F1">
      <w:pPr>
        <w:pStyle w:val="subchaptertitleslevel3"/>
      </w:pPr>
      <w:r>
        <w:t>1.2.1 Stated preferences</w:t>
      </w:r>
    </w:p>
    <w:p w14:paraId="0B0BBA85" w14:textId="77777777" w:rsidR="002411F1" w:rsidRPr="005E7D59" w:rsidRDefault="002411F1" w:rsidP="002411F1">
      <w:pPr>
        <w:pStyle w:val="maintext0"/>
      </w:pPr>
      <w:r>
        <w:t>Early approaches in economic research incorporated human behaviour by asking respondents to make choices in hypothetical situations. In these surveys, respondents are presented with a vignette outlining counterfactual conditions under which they must choose (Beatty 2023). Research by Brown et al. (1996) has demonstrated that choices made in hypothetical scenarios can differ significantly from real-life decisions (Brown et al. 1996). For example, respondents often state that they are willing to pay more for a good when there are no financial consequences, which is a phenomenon known as hypothetical bias (Halvorsen and Sœlensminde 1998).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66F195BF" w14:textId="77777777" w:rsidR="002411F1" w:rsidRPr="005E7D59" w:rsidRDefault="002411F1" w:rsidP="002411F1">
      <w:pPr>
        <w:pStyle w:val="subchaptertitleslevel3"/>
      </w:pPr>
      <w:r>
        <w:t>1.2.2 Revealed preferences</w:t>
      </w:r>
    </w:p>
    <w:p w14:paraId="7CFEDB64" w14:textId="77777777" w:rsidR="002411F1" w:rsidRPr="005E7D59" w:rsidRDefault="002411F1" w:rsidP="002411F1">
      <w:pPr>
        <w:pStyle w:val="maintext0"/>
      </w:pPr>
      <w:r>
        <w:t>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reported higher hypothetical buying prices for various goods compared to actual prices (Christensen et al. 1999). In contrast, O’Conor, Johannesson, and Johansson (1999) observed no significant difference between the two (O‘Conor et al. 1999). These varying outcomes suggest that the extent of hypothetical bias can differ across studies and industries, influencing the comparability of results from hypothetical versus real-world settings.</w:t>
      </w:r>
    </w:p>
    <w:p w14:paraId="4C1AF68D" w14:textId="77777777" w:rsidR="002411F1" w:rsidRPr="005E7D59" w:rsidRDefault="002411F1" w:rsidP="002411F1">
      <w:pPr>
        <w:pStyle w:val="subchaptertitleslevel2"/>
      </w:pPr>
      <w:r>
        <w:t>1.3 The role of brand knowledge in consumer choice</w:t>
      </w:r>
    </w:p>
    <w:p w14:paraId="336CF841" w14:textId="77777777" w:rsidR="002411F1" w:rsidRPr="005E7D59" w:rsidRDefault="002411F1" w:rsidP="002411F1">
      <w:pPr>
        <w:pStyle w:val="maintext0"/>
      </w:pPr>
      <w:r>
        <w:t>An important factor influencing consumer decision-making when choosing between different brands is how consumers perceive and feel about them. Each brand can be represented by a pyramid, where the base forms the foundation for subsequent levels (Keller 2001).</w:t>
      </w:r>
    </w:p>
    <w:p w14:paraId="2707F676" w14:textId="77777777" w:rsidR="002411F1" w:rsidRPr="005E7D59" w:rsidRDefault="002411F1" w:rsidP="002411F1">
      <w:pPr>
        <w:pStyle w:val="Figure"/>
        <w:rPr>
          <w:lang w:val="en-GB"/>
        </w:rPr>
      </w:pPr>
      <w:r>
        <w:t>Figure 1.2 Pyramid representation of brand knowledge dimensions</w:t>
      </w:r>
    </w:p>
    <w:p w14:paraId="0D3C4035" w14:textId="77777777" w:rsidR="002411F1" w:rsidRPr="005E7D59" w:rsidRDefault="002411F1" w:rsidP="002411F1">
      <w:pPr>
        <w:pStyle w:val="sourcetext"/>
      </w:pPr>
      <w:r>
        <w:t>Source: Own study, based on: L. K. Keller “Building customer-based brand equity”, Marketing Management, Chicago, 2001.</w:t>
      </w:r>
    </w:p>
    <w:p w14:paraId="1F7243EC" w14:textId="77777777" w:rsidR="002411F1" w:rsidRPr="005E7D59" w:rsidRDefault="002411F1" w:rsidP="002411F1">
      <w:pPr>
        <w:pStyle w:val="maintext0"/>
      </w:pPr>
      <w:r>
        <w:t>At the base of the pyramid is brand awareness, which measures how readily a brand is recalled from memory. Brand awareness comprises two components:</w:t>
      </w:r>
    </w:p>
    <w:p w14:paraId="7DA46F40" w14:textId="77777777" w:rsidR="002411F1" w:rsidRPr="005E7D59" w:rsidRDefault="002411F1" w:rsidP="002411F1">
      <w:pPr>
        <w:pStyle w:val="maintext0"/>
      </w:pPr>
      <w:r>
        <w:t>Brand Recognition: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t>Brand Recall: The ability to remember the brand without any prompts, which reflects the brand’s positioning and influences purchasing decisions (Khurram et al. 2018).</w:t>
      </w:r>
    </w:p>
    <w:p w14:paraId="28FF1EFF" w14:textId="77777777" w:rsidR="002411F1" w:rsidRPr="005E7D59" w:rsidRDefault="002411F1" w:rsidP="002411F1">
      <w:pPr>
        <w:pStyle w:val="maintext0"/>
      </w:pPr>
      <w:r>
        <w:t>Building on awareness, consumers form a brand image,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t>Attributes: The various characteristics of the brand, both related and unrelated to the product.</w:t>
      </w:r>
    </w:p>
    <w:p w14:paraId="7A4A3177" w14:textId="77777777" w:rsidR="002411F1" w:rsidRPr="005E7D59" w:rsidRDefault="002411F1" w:rsidP="002411F1">
      <w:pPr>
        <w:pStyle w:val="maintext0"/>
      </w:pPr>
      <w:r>
        <w:t>Benefits: The functional advantages, such as quality and reliability.</w:t>
      </w:r>
    </w:p>
    <w:p w14:paraId="0B58A835" w14:textId="77777777" w:rsidR="002411F1" w:rsidRPr="005E7D59" w:rsidRDefault="002411F1" w:rsidP="002411F1">
      <w:pPr>
        <w:pStyle w:val="maintext0"/>
      </w:pPr>
      <w:r>
        <w:t>Attitudes: The feelings or emotions that consumers experience after using the product, which influence their overall preferences (Bernarto et al. 2020).</w:t>
        <w:br/>
        <w:t>A strong brand image can distinguish a company in a competitive market, increasing customer loyalty and trust.</w:t>
      </w:r>
    </w:p>
    <w:p w14:paraId="6339A409" w14:textId="77777777" w:rsidR="002411F1" w:rsidRPr="005E7D59" w:rsidRDefault="002411F1" w:rsidP="002411F1">
      <w:pPr>
        <w:pStyle w:val="maintext0"/>
      </w:pPr>
      <w:r>
        <w:t>Brand value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t>The final component of brand knowledge is brand attachment, which measures the emotional bond that consumers develop with a brand. Rooted in attachment theory from psychology, brand attachment is characterized by the strength of the connection between the brand and the consumer’s self-concept (Shimul 2022). This attachment is multifaceted and may be reflected in nostalgic memories or the perception of the brand as an extension of the consumer’s identity. Ultimately, brand attachment plays a vital role in shaping consumer loyalty and behaviour.</w:t>
      </w:r>
    </w:p>
    <w:p w14:paraId="78CC5BBA" w14:textId="77777777" w:rsidR="002411F1" w:rsidRPr="005E7D59" w:rsidRDefault="002411F1" w:rsidP="002411F1">
      <w:pPr>
        <w:pStyle w:val="subchaptertitleslevel2"/>
      </w:pPr>
      <w:r>
        <w:t>1.4 Understanding willingness to pay</w:t>
      </w:r>
    </w:p>
    <w:p w14:paraId="285DE10E" w14:textId="77777777" w:rsidR="002411F1" w:rsidRPr="005E7D59" w:rsidRDefault="002411F1" w:rsidP="002411F1">
      <w:pPr>
        <w:pStyle w:val="maintext0"/>
      </w:pPr>
      <w:r>
        <w:t>All the above-mentioned theories converge on the concept of WTP, which reflects the maximum amount a consumer is prepared to spend on a product based on market forces, 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(Garda and Marn 1993).</w:t>
      </w:r>
    </w:p>
    <w:p w14:paraId="348FA476" w14:textId="77777777" w:rsidR="002411F1" w:rsidRPr="005E7D59" w:rsidRDefault="002411F1" w:rsidP="002411F1">
      <w:pPr>
        <w:pStyle w:val="maintext0"/>
      </w:pPr>
      <w:r>
        <w:t>A more consumer-centric approach evaluates the value a product brings to its users by assessing the benefits it provides. This perceived monetary value is understood as WTP, so the maximum amount a consumer would pay to acquire a product (Gupta and Çakanyıldırım 2016). In other words, a consumer will consider purchasing a product only if the perceived utility exceeds its price (Simon and Fassnacht 2018). As noted by Philips, Whynes, and Avis (2006), market demand curves are essentially the sum of individual WTP values, reflecting the aggregated perceived value and utility derived from consumption (Philips et al. 2006).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t>Both researchers and practitioners agree that understanding WTP is essential for developing an optimal pricing structure (Diller and Herrmann 2003).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(Monroe 2003).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t>WTP can be categorized into two types: hypothetical and real. Hypothetical WTP (HWTP) is stated without any financial consequences. It represents a simple declaration of how much a consumer would pay for a product if given the opportunity (Schmidt and Bijmolt 2020).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not appear in every stated preference survey, it can significantly affect the measured WTP (Loomis 2011).</w:t>
      </w:r>
    </w:p>
    <w:p w14:paraId="0F6A92BC" w14:textId="77777777" w:rsidR="002411F1" w:rsidRPr="005E7D59" w:rsidRDefault="002411F1" w:rsidP="002411F1">
      <w:pPr>
        <w:pStyle w:val="subchaptertitleslevel2"/>
      </w:pPr>
      <w:r>
        <w:t>1.5 Methodological approaches to willingness to pay measurement</w:t>
      </w:r>
    </w:p>
    <w:p w14:paraId="3F85EEC2" w14:textId="77777777" w:rsidR="002411F1" w:rsidRPr="005E7D59" w:rsidRDefault="002411F1" w:rsidP="002411F1">
      <w:pPr>
        <w:pStyle w:val="maintext0"/>
      </w:pPr>
      <w:r>
        <w:t>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(Diller and Herrmann 2003). For this study, we focus on methods based on the way data are collected. The various methods are illustrated in Figure 1.3 (Breidert et al. 2006).</w:t>
      </w:r>
    </w:p>
    <w:p w14:paraId="1025659E" w14:textId="77777777" w:rsidR="002411F1" w:rsidRPr="005E7D59" w:rsidRDefault="002411F1" w:rsidP="002411F1">
      <w:pPr>
        <w:pStyle w:val="maintext0"/>
      </w:pPr>
      <w:r>
        <w:t>This representation separates all the methods into those which can be measured by surveying either with direct or indirect questions, and those which are based on real purchasing data from the past.</w:t>
      </w:r>
    </w:p>
    <w:p w14:paraId="6929601E" w14:textId="77777777" w:rsidR="002411F1" w:rsidRPr="005E7D59" w:rsidRDefault="002411F1" w:rsidP="002411F1">
      <w:pPr>
        <w:pStyle w:val="Figure"/>
        <w:rPr>
          <w:lang w:val="en-GB"/>
        </w:rPr>
      </w:pPr>
      <w:r>
        <w:t>Figure 1.3 Willingness to pay measure methods based on revealed or stated preference</w:t>
      </w:r>
    </w:p>
    <w:p w14:paraId="46DE9767" w14:textId="77777777" w:rsidR="002411F1" w:rsidRPr="005E7D59" w:rsidRDefault="002411F1" w:rsidP="002411F1">
      <w:pPr>
        <w:pStyle w:val="sourcetext"/>
      </w:pPr>
      <w:r>
        <w:t>Source: Breidert, C, Hahsler, M &amp; Reutterer, T 2006, 'A Review of Methods for Measuring Willingness-to-Pay', Innovative Marketing, vol. 2, no. 4, 2 (4), pp. 8-32.</w:t>
      </w:r>
    </w:p>
    <w:p w14:paraId="48EBDB3D" w14:textId="77777777" w:rsidR="002411F1" w:rsidRPr="005E7D59" w:rsidRDefault="002411F1" w:rsidP="002411F1">
      <w:pPr>
        <w:pStyle w:val="subchaptertitleslevel3"/>
      </w:pPr>
      <w:r>
        <w:t>1.5.1 Laboratory experiments</w:t>
      </w:r>
    </w:p>
    <w:p w14:paraId="7A4BE54F" w14:textId="77777777" w:rsidR="002411F1" w:rsidRPr="005E7D59" w:rsidRDefault="002411F1" w:rsidP="002411F1">
      <w:pPr>
        <w:pStyle w:val="maintext0"/>
      </w:pPr>
      <w:r>
        <w:t>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(Smith 1982) to spend on the product or service under investigation. This incentive-based approach helps reduce hypothetical bias by requiring participants to make actual spending decisions (Loureiro and Mccluskey 2003). However, a potential drawback is that participants are aware they are being observed in an artificial setting, which may lead them to make more rational decisions than they would in everyday shopping scenarios (Hanna and Dodge 1995).</w:t>
      </w:r>
    </w:p>
    <w:p w14:paraId="0C4D72E9" w14:textId="77777777" w:rsidR="002411F1" w:rsidRPr="005E7D59" w:rsidRDefault="002411F1" w:rsidP="002411F1">
      <w:pPr>
        <w:pStyle w:val="subchaptertitleslevel3"/>
      </w:pPr>
      <w:r>
        <w:t>1.5.2 Field studies</w:t>
      </w:r>
    </w:p>
    <w:p w14:paraId="6F35112A" w14:textId="77777777" w:rsidR="002411F1" w:rsidRPr="005E7D59" w:rsidRDefault="002411F1" w:rsidP="002411F1">
      <w:pPr>
        <w:pStyle w:val="maintext0"/>
      </w:pPr>
      <w:r>
        <w:t>Field studies are conducted in natural environments where participants make purchasing decisions in real or closely simulated market situations (Blumenschein et al. 2008).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relevant variable. Like laboratory experiments, field studies tend to be more costly and time-consuming due to the need to monitor actual market responses over extended periods (McMahon-Beattie 2002).</w:t>
      </w:r>
    </w:p>
    <w:p w14:paraId="7C406F9D" w14:textId="77777777" w:rsidR="002411F1" w:rsidRPr="005E7D59" w:rsidRDefault="002411F1" w:rsidP="002411F1">
      <w:pPr>
        <w:pStyle w:val="subchaptertitleslevel3"/>
      </w:pPr>
      <w:r>
        <w:t>1.5.3 Auctions mechanism</w:t>
      </w:r>
    </w:p>
    <w:p w14:paraId="527F640B" w14:textId="77777777" w:rsidR="002411F1" w:rsidRPr="005E7D59" w:rsidRDefault="002411F1" w:rsidP="002411F1">
      <w:pPr>
        <w:pStyle w:val="maintext0"/>
      </w:pPr>
      <w:r>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t>A widely used method is the Becker-DeGroot-Marschak (BDM) procedure (Becker et al. 1964).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t>Another format is the Vickrey auction, also known as the second price, sealed-bid auction, where each participant submits an anonymous bid. The highest bidder wins but pays the amount of the second-highest bid (Ausubel and Milgrom 2005).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r>
        <w:t>1.5.4 Direct surveys methods</w:t>
      </w:r>
    </w:p>
    <w:p w14:paraId="2F85239C" w14:textId="77777777" w:rsidR="002411F1" w:rsidRPr="005E7D59" w:rsidRDefault="002411F1" w:rsidP="002411F1">
      <w:pPr>
        <w:pStyle w:val="maintext0"/>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(Hofstetter et al. 2021).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(Breidert et al. 2006).</w:t>
      </w:r>
    </w:p>
    <w:p w14:paraId="0D39D7CD" w14:textId="77777777" w:rsidR="002411F1" w:rsidRPr="005E7D59" w:rsidRDefault="002411F1" w:rsidP="002411F1">
      <w:pPr>
        <w:pStyle w:val="maintext0"/>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(Whynes et al. 2004).</w:t>
      </w:r>
    </w:p>
    <w:p w14:paraId="7F189BA0" w14:textId="77777777" w:rsidR="002411F1" w:rsidRPr="005E7D59" w:rsidRDefault="002411F1" w:rsidP="002411F1">
      <w:pPr>
        <w:pStyle w:val="maintext0"/>
      </w:pPr>
      <w:r>
        <w:t>One commonly used open-ended survey was developed by Stoetzel (1954), based on the idea that each consumer has a minimum and maximum price they would consider acceptable for a product. Examples of such questions (Stoetzel 1954; Marbeau 1987) include:</w:t>
      </w:r>
    </w:p>
    <w:p w14:paraId="6E174641" w14:textId="77777777" w:rsidR="002411F1" w:rsidRPr="005E7D59" w:rsidRDefault="002411F1" w:rsidP="003F51A1">
      <w:pPr>
        <w:pStyle w:val="maintext0"/>
        <w:numPr>
          <w:ilvl w:val="0"/>
          <w:numId w:val="9"/>
        </w:numPr>
      </w:pPr>
      <w:r>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t>“Below which price would you not buy the product because you would suspect its quality?”</w:t>
      </w:r>
    </w:p>
    <w:p w14:paraId="27AAEE21" w14:textId="77777777" w:rsidR="002411F1" w:rsidRPr="005E7D59" w:rsidRDefault="002411F1" w:rsidP="002411F1">
      <w:pPr>
        <w:pStyle w:val="maintext0"/>
      </w:pPr>
      <w:r>
        <w:t>These questions directly target the reservation price by linking monetary value to perceived quality or affordability.</w:t>
      </w:r>
    </w:p>
    <w:p w14:paraId="637E2594" w14:textId="77777777" w:rsidR="002411F1" w:rsidRPr="005E7D59" w:rsidRDefault="002411F1" w:rsidP="002411F1">
      <w:pPr>
        <w:pStyle w:val="maintext0"/>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(Lieven and Lennerts 2013). This method can be further refined using Price Sensitivity Meter (PSM) questions (Löffler 2015),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t>“At what price would you consider this product so inexpensive that you would doubt its quality?”</w:t>
      </w:r>
    </w:p>
    <w:p w14:paraId="416C084C" w14:textId="77777777" w:rsidR="002411F1" w:rsidRPr="005E7D59" w:rsidRDefault="002411F1" w:rsidP="003F51A1">
      <w:pPr>
        <w:pStyle w:val="maintext0"/>
        <w:numPr>
          <w:ilvl w:val="0"/>
          <w:numId w:val="10"/>
        </w:numPr>
      </w:pPr>
      <w:r>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t>“At what price would you consider the product a bargain – a great buy for the money?”</w:t>
      </w:r>
    </w:p>
    <w:p w14:paraId="25160E8B" w14:textId="77777777" w:rsidR="002411F1" w:rsidRPr="005E7D59" w:rsidRDefault="002411F1" w:rsidP="003F51A1">
      <w:pPr>
        <w:pStyle w:val="maintext0"/>
        <w:numPr>
          <w:ilvl w:val="0"/>
          <w:numId w:val="10"/>
        </w:numPr>
      </w:pPr>
      <w:r>
        <w:t>“What would you expect the market price to be without any discounts?”</w:t>
      </w:r>
    </w:p>
    <w:p w14:paraId="5A38BBB8" w14:textId="77777777" w:rsidR="002411F1" w:rsidRPr="005E7D59" w:rsidRDefault="002411F1" w:rsidP="002411F1">
      <w:pPr>
        <w:pStyle w:val="maintext0"/>
      </w:pPr>
      <w:r>
        <w:t>The cumulative percentage values from these thresholds and bounds can then be used to determine an optimal price point (the intersection of U(p) and L(p)) as well as an acceptable price range (the intersection of cumulative PSM responses) (Löffler 2015).</w:t>
      </w:r>
    </w:p>
    <w:p w14:paraId="4D8657C9" w14:textId="77777777" w:rsidR="002411F1" w:rsidRPr="005E7D59" w:rsidRDefault="002411F1" w:rsidP="002411F1">
      <w:pPr>
        <w:pStyle w:val="maintext0"/>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(Hoffman and Spitzer 1993). Therefore, while direct open-ended questions can capture initial consumer valuation, their results should be interpreted with caution and ideally corroborated with other measurement approaches.</w:t>
      </w:r>
    </w:p>
    <w:p w14:paraId="524639F6" w14:textId="77777777" w:rsidR="002411F1" w:rsidRPr="005E7D59" w:rsidRDefault="002411F1" w:rsidP="002411F1">
      <w:pPr>
        <w:pStyle w:val="subchaptertitleslevel3"/>
      </w:pPr>
      <w:r>
        <w:t>1.5.5 Indirect surveys methods</w:t>
      </w:r>
    </w:p>
    <w:p w14:paraId="569CD261" w14:textId="77777777" w:rsidR="002411F1" w:rsidRPr="005E7D59" w:rsidRDefault="002411F1" w:rsidP="002411F1">
      <w:pPr>
        <w:pStyle w:val="maintext0"/>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(Marbeau 1987). By selecting a particular profile, participants implicitly indicate the price they are willing to pay for that combination of attributes (Alriksson and Oberg 2008). This indirect approach has evolved into more sophisticated choice experiments in pricing and marketing studies.</w:t>
      </w:r>
    </w:p>
    <w:p w14:paraId="593FC2F5" w14:textId="77777777" w:rsidR="002411F1" w:rsidRPr="005E7D59" w:rsidRDefault="002411F1" w:rsidP="002411F1">
      <w:pPr>
        <w:pStyle w:val="maintext0"/>
      </w:pPr>
      <w:r>
        <w:t>In real-world purchasing, consumers are often faced with multiple similar products differentiated by attributes such as price, colour, and brand. Rarely there is a single best product and instead, buyers evaluate all available options and choose the one that best fits their preferences (Alriksson and Oberg 2008).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(Molin et al. 2017). Although the results can be expressed as a utility function, they are interpreted differently: in CBC, utility is calculated as the sum of part-worths for each attribute level, while in DCE, utility is modelled as components of random utility theory (Green and Rao 1971):</w:t>
      </w:r>
    </w:p>
    <w:p w14:paraId="2E2AB846" w14:textId="77777777" w:rsidR="002411F1" w:rsidRPr="005E7D59" w:rsidRDefault="002411F1" w:rsidP="002411F1">
      <w:pPr>
        <w:pStyle w:val="maintext0"/>
      </w:pPr>
      <w:r>
        <w:t>where:</w:t>
      </w:r>
    </w:p>
    <w:p w14:paraId="37EC2FA5" w14:textId="77777777" w:rsidR="002411F1" w:rsidRPr="005E7D59" w:rsidRDefault="002411F1" w:rsidP="002411F1">
      <w:pPr>
        <w:pStyle w:val="maintext0"/>
      </w:pPr>
      <w:r>
        <w:t>yc – is the utility of profile c.</w:t>
      </w:r>
    </w:p>
    <w:p w14:paraId="7AEC9B17" w14:textId="77777777" w:rsidR="002411F1" w:rsidRPr="005E7D59" w:rsidRDefault="002411F1" w:rsidP="002411F1">
      <w:pPr>
        <w:pStyle w:val="maintext0"/>
      </w:pPr>
      <w:r>
        <w:t>βal – represents the unknown part-worth (in CBC) or the utility parameter estimate</w:t>
      </w:r>
    </w:p>
    <w:p w14:paraId="6206AC80" w14:textId="77777777" w:rsidR="002411F1" w:rsidRPr="005E7D59" w:rsidRDefault="002411F1" w:rsidP="002411F1">
      <w:pPr>
        <w:pStyle w:val="maintext0"/>
      </w:pPr>
      <w:r>
        <w:t>(in DCE) for level l of attribute a.</w:t>
      </w:r>
    </w:p>
    <w:p w14:paraId="3514A11D" w14:textId="77777777" w:rsidR="002411F1" w:rsidRPr="005E7D59" w:rsidRDefault="002411F1" w:rsidP="002411F1">
      <w:pPr>
        <w:pStyle w:val="maintext0"/>
      </w:pPr>
      <w:r>
        <w:t>xal – equals 1 if profile c includes level l of attribute a, and 0 otherwise</w:t>
      </w:r>
    </w:p>
    <w:p w14:paraId="022C8634" w14:textId="77777777" w:rsidR="002411F1" w:rsidRPr="005E7D59" w:rsidRDefault="002411F1" w:rsidP="002411F1">
      <w:pPr>
        <w:pStyle w:val="maintext0"/>
      </w:pPr>
      <w:r>
        <w:t>After fitting the utility function, CBC is typically used for market share simulations and satisfaction assessments using an additive composition rule, whereas DCE estimates choice probabilities through probabilistic choice models (Louviere et al. 2010).</w:t>
      </w:r>
    </w:p>
    <w:p w14:paraId="0125173E" w14:textId="77777777" w:rsidR="002411F1" w:rsidRPr="005E7D59" w:rsidRDefault="002411F1" w:rsidP="002411F1">
      <w:pPr>
        <w:pStyle w:val="maintext0"/>
      </w:pPr>
      <w:r>
        <w:t>To mitigate information overload from full product profiles, trade-off methods have been implemented, presenting respondents with only a pair of attributes per product profile (Johnson 1974).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t>An adaptive choice-based conjoint (ACBC) approach further refines conjoint analysis by adapting the survey based on individual preferences and behaviours (Cunningham et al. 2010). This iterative process addresses extreme response behaviours, such as consistently choosing a no-choice option or always selecting the same alternative regardless of differences, by tailoring subsequent choices to each respondent. As a result, ACBC increases engagement and yields deeper insights into consumer decision making (Al-Omari et al. 2023).</w:t>
      </w:r>
    </w:p>
    <w:p w14:paraId="4E540D36" w14:textId="77777777" w:rsidR="002411F1" w:rsidRPr="005E7D59" w:rsidRDefault="002411F1" w:rsidP="002411F1">
      <w:pPr>
        <w:pStyle w:val="subchaptertitleslevel3"/>
      </w:pPr>
      <w:r>
        <w:t>1.6 Summary</w:t>
      </w:r>
    </w:p>
    <w:p w14:paraId="518F5437" w14:textId="77777777" w:rsidR="002411F1" w:rsidRPr="005E7D59" w:rsidRDefault="002411F1" w:rsidP="002411F1">
      <w:pPr>
        <w:pStyle w:val="maintext0"/>
      </w:pPr>
      <w:r>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38CB886A" w14:textId="2A3E6BBC" w:rsidR="002411F1" w:rsidRPr="000D1582" w:rsidRDefault="002411F1" w:rsidP="000D1582">
      <w:pPr>
        <w:pStyle w:val="chaptertitles"/>
        <w:pageBreakBefore/>
      </w:pPr>
      <w:r>
        <w:t>CHAPTER II</w:t>
      </w:r>
    </w:p>
    <w:p w14:paraId="733D25B1" w14:textId="77777777" w:rsidR="002411F1" w:rsidRPr="000D1582" w:rsidRDefault="002411F1" w:rsidP="000D1582">
      <w:pPr>
        <w:pStyle w:val="chaptertitles"/>
      </w:pPr>
      <w:r>
        <w:t>The fast-food market and willingness to pay determinants</w:t>
      </w:r>
    </w:p>
    <w:p w14:paraId="11063DCA" w14:textId="77777777" w:rsidR="002411F1" w:rsidRPr="005E7D59" w:rsidRDefault="002411F1" w:rsidP="00EF137A">
      <w:pPr>
        <w:pStyle w:val="maintext0"/>
      </w:pPr>
      <w:r>
        <w:t>With evolving consumer lifestyles, increasing urbanization, and changing consumption trends, every industry is constantly adapting. The restaurant industry, with fast-food is no exception. Over the past decade, this sector has experienced significant growth and transformation (Coherent Market Insights Pvt 2025). This chapter provides a detailed overview of the fast-food industry in Poland, examines consumer behaviours and trends, and highlights the key factors influencing food choices and consumers’ WTP.</w:t>
      </w:r>
    </w:p>
    <w:p w14:paraId="55CDEF00" w14:textId="77777777" w:rsidR="002411F1" w:rsidRPr="005E7D59" w:rsidRDefault="002411F1" w:rsidP="00EF137A">
      <w:pPr>
        <w:pStyle w:val="subchaptertitleslevel2"/>
      </w:pPr>
      <w:r>
        <w:t>2.1 Fast-food market overview in Poland</w:t>
      </w:r>
    </w:p>
    <w:p w14:paraId="100667B8" w14:textId="77777777" w:rsidR="002411F1" w:rsidRPr="00EF137A" w:rsidRDefault="002411F1" w:rsidP="00EF137A">
      <w:pPr>
        <w:pStyle w:val="maintext0"/>
      </w:pPr>
      <w:r>
        <w:t>Fast-food is defined as a segment within the food service industry that specializes in the rapid preparation and service of food (Fantasia 1995).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(Penfold 2012).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Pr="00EF137A" w:rsidRDefault="002411F1" w:rsidP="00EF137A">
      <w:pPr>
        <w:pStyle w:val="maintext0"/>
      </w:pPr>
      <w:r>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sectPr w:rsidR="00B231E5" w:rsidRPr="002411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1" w15:restartNumberingAfterBreak="0">
    <w:nsid w:val="1B6B071B"/>
    <w:multiLevelType w:val="multilevel"/>
    <w:tmpl w:val="981E40B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360" w:hanging="360"/>
      </w:pPr>
      <w:rPr>
        <w:sz w:val="20"/>
      </w:rPr>
    </w:lvl>
    <w:lvl w:ilvl="1">
      <w:start w:val="1"/>
      <w:numFmt w:val="decimal"/>
      <w:lvlText w:val="–"/>
      <w:lvlJc w:val="left"/>
      <w:pPr>
        <w:ind w:left="360" w:hanging="360"/>
      </w:pPr>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5" w15:restartNumberingAfterBreak="0">
    <w:nsid w:val="4C54067E"/>
    <w:multiLevelType w:val="multilevel"/>
    <w:tmpl w:val="5B3A50E4"/>
    <w:lvl w:ilvl="0">
      <w:start w:val="1"/>
      <w:numFmt w:val="decimal"/>
      <w:lvlText w:val="–"/>
      <w:lvlJc w:val="left"/>
      <w:pPr>
        <w:ind w:left="360" w:hanging="360"/>
      </w:pPr>
      <w:rPr/>
    </w:lvl>
    <w:lvl w:ilvl="1">
      <w:start w:val="1"/>
      <w:numFmt w:val="decimal"/>
      <w:lvlText w:val="–"/>
      <w:lvlJc w:val="left"/>
      <w:pPr>
        <w:ind w:left="360" w:hanging="360"/>
      </w:pPr>
      <w:rPr/>
    </w:lvl>
    <w:lvl w:ilvl="2">
      <w:start w:val="1"/>
      <w:numFmt w:val="decimal"/>
      <w:lvlText w:val="–"/>
      <w:lvlJc w:val="left"/>
      <w:pPr>
        <w:ind w:left="360" w:hanging="360"/>
      </w:pPr>
      <w:rPr/>
    </w:lvl>
    <w:lvl w:ilvl="3">
      <w:start w:val="1"/>
      <w:numFmt w:val="decimal"/>
      <w:lvlText w:val="–"/>
      <w:lvlJc w:val="left"/>
      <w:pPr>
        <w:ind w:left="360" w:hanging="360"/>
      </w:pPr>
      <w:rPr/>
    </w:lvl>
    <w:lvl w:ilvl="4">
      <w:start w:val="1"/>
      <w:numFmt w:val="decimal"/>
      <w:lvlText w:val="–"/>
      <w:lvlJc w:val="left"/>
      <w:pPr>
        <w:ind w:left="360" w:hanging="360"/>
      </w:pPr>
      <w:rPr/>
    </w:lvl>
    <w:lvl w:ilvl="5">
      <w:start w:val="1"/>
      <w:numFmt w:val="decimal"/>
      <w:lvlText w:val="–"/>
      <w:lvlJc w:val="left"/>
      <w:pPr>
        <w:ind w:left="360" w:hanging="360"/>
      </w:pPr>
      <w:rPr/>
    </w:lvl>
    <w:lvl w:ilvl="6">
      <w:start w:val="1"/>
      <w:numFmt w:val="decimal"/>
      <w:lvlText w:val="–"/>
      <w:lvlJc w:val="left"/>
      <w:pPr>
        <w:ind w:left="360" w:hanging="360"/>
      </w:pPr>
      <w:rPr/>
    </w:lvl>
    <w:lvl w:ilvl="7">
      <w:start w:val="1"/>
      <w:numFmt w:val="decimal"/>
      <w:lvlText w:val="–"/>
      <w:lvlJc w:val="left"/>
      <w:pPr>
        <w:ind w:left="360" w:hanging="360"/>
      </w:pPr>
      <w:rPr/>
    </w:lvl>
    <w:lvl w:ilvl="8">
      <w:start w:val="1"/>
      <w:numFmt w:val="decimal"/>
      <w:lvlText w:val="–"/>
      <w:lvlJc w:val="left"/>
      <w:pPr>
        <w:ind w:left="360" w:hanging="360"/>
      </w:pPr>
      <w:rPr/>
    </w:lvl>
  </w:abstractNum>
  <w:abstractNum w:abstractNumId="6" w15:restartNumberingAfterBreak="0">
    <w:nsid w:val="50BF0066"/>
    <w:multiLevelType w:val="hybridMultilevel"/>
    <w:tmpl w:val="F81044AE"/>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7" w15:restartNumberingAfterBreak="0">
    <w:nsid w:val="51475EEE"/>
    <w:multiLevelType w:val="hybridMultilevel"/>
    <w:tmpl w:val="15DC0924"/>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8" w15:restartNumberingAfterBreak="0">
    <w:nsid w:val="554B772D"/>
    <w:multiLevelType w:val="hybridMultilevel"/>
    <w:tmpl w:val="71F2C842"/>
    <w:lvl w:ilvl="0" w:tplc="04150001">
      <w:start w:val="1"/>
      <w:numFmt w:val="bullet"/>
      <w:lvlText w:val="–"/>
      <w:lvlJc w:val="left"/>
      <w:pPr>
        <w:ind w:left="360" w:hanging="360"/>
      </w:pPr>
      <w:rPr/>
    </w:lvl>
    <w:lvl w:ilvl="1" w:tplc="04150003" w:tentative="1">
      <w:start w:val="1"/>
      <w:numFmt w:val="bullet"/>
      <w:lvlText w:val="–"/>
      <w:lvlJc w:val="left"/>
      <w:pPr>
        <w:ind w:left="360" w:hanging="360"/>
      </w:pPr>
      <w:rPr/>
    </w:lvl>
    <w:lvl w:ilvl="2" w:tplc="04150005" w:tentative="1">
      <w:start w:val="1"/>
      <w:numFmt w:val="bullet"/>
      <w:lvlText w:val="–"/>
      <w:lvlJc w:val="left"/>
      <w:pPr>
        <w:ind w:left="360" w:hanging="360"/>
      </w:pPr>
      <w:rPr/>
    </w:lvl>
    <w:lvl w:ilvl="3" w:tplc="04150001" w:tentative="1">
      <w:start w:val="1"/>
      <w:numFmt w:val="bullet"/>
      <w:lvlText w:val="–"/>
      <w:lvlJc w:val="left"/>
      <w:pPr>
        <w:ind w:left="360" w:hanging="360"/>
      </w:pPr>
      <w:rPr/>
    </w:lvl>
    <w:lvl w:ilvl="4" w:tplc="04150003" w:tentative="1">
      <w:start w:val="1"/>
      <w:numFmt w:val="bullet"/>
      <w:lvlText w:val="–"/>
      <w:lvlJc w:val="left"/>
      <w:pPr>
        <w:ind w:left="360" w:hanging="360"/>
      </w:pPr>
      <w:rPr/>
    </w:lvl>
    <w:lvl w:ilvl="5" w:tplc="04150005" w:tentative="1">
      <w:start w:val="1"/>
      <w:numFmt w:val="bullet"/>
      <w:lvlText w:val="–"/>
      <w:lvlJc w:val="left"/>
      <w:pPr>
        <w:ind w:left="360" w:hanging="360"/>
      </w:pPr>
      <w:rPr/>
    </w:lvl>
    <w:lvl w:ilvl="6" w:tplc="04150001" w:tentative="1">
      <w:start w:val="1"/>
      <w:numFmt w:val="bullet"/>
      <w:lvlText w:val="–"/>
      <w:lvlJc w:val="left"/>
      <w:pPr>
        <w:ind w:left="360" w:hanging="360"/>
      </w:pPr>
      <w:rPr/>
    </w:lvl>
    <w:lvl w:ilvl="7" w:tplc="04150003" w:tentative="1">
      <w:start w:val="1"/>
      <w:numFmt w:val="bullet"/>
      <w:lvlText w:val="–"/>
      <w:lvlJc w:val="left"/>
      <w:pPr>
        <w:ind w:left="360" w:hanging="360"/>
      </w:pPr>
      <w:rPr/>
    </w:lvl>
    <w:lvl w:ilvl="8" w:tplc="04150005" w:tentative="1">
      <w:start w:val="1"/>
      <w:numFmt w:val="bullet"/>
      <w:lvlText w:val="–"/>
      <w:lvlJc w:val="left"/>
      <w:pPr>
        <w:ind w:left="360" w:hanging="360"/>
      </w:pPr>
      <w:rPr/>
    </w:lvl>
  </w:abstractNum>
  <w:abstractNum w:abstractNumId="9" w15:restartNumberingAfterBreak="0">
    <w:nsid w:val="5AEE1E4B"/>
    <w:multiLevelType w:val="multilevel"/>
    <w:tmpl w:val="BAD2AC4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360" w:hanging="360"/>
      </w:pPr>
      <w:rPr>
        <w:sz w:val="20"/>
      </w:rPr>
    </w:lvl>
    <w:lvl w:ilvl="2" w:tentative="1">
      <w:start w:val="1"/>
      <w:numFmt w:val="bullet"/>
      <w:lvlText w:val="–"/>
      <w:lvlJc w:val="left"/>
      <w:pPr>
        <w:tabs>
          <w:tab w:val="num" w:pos="2160"/>
        </w:tabs>
        <w:ind w:left="360" w:hanging="360"/>
      </w:pPr>
      <w:rPr>
        <w:sz w:val="20"/>
      </w:rPr>
    </w:lvl>
    <w:lvl w:ilvl="3" w:tentative="1">
      <w:start w:val="1"/>
      <w:numFmt w:val="bullet"/>
      <w:lvlText w:val="–"/>
      <w:lvlJc w:val="left"/>
      <w:pPr>
        <w:tabs>
          <w:tab w:val="num" w:pos="2880"/>
        </w:tabs>
        <w:ind w:left="360" w:hanging="360"/>
      </w:pPr>
      <w:rPr>
        <w:sz w:val="20"/>
      </w:rPr>
    </w:lvl>
    <w:lvl w:ilvl="4" w:tentative="1">
      <w:start w:val="1"/>
      <w:numFmt w:val="bullet"/>
      <w:lvlText w:val="–"/>
      <w:lvlJc w:val="left"/>
      <w:pPr>
        <w:tabs>
          <w:tab w:val="num" w:pos="3600"/>
        </w:tabs>
        <w:ind w:left="360" w:hanging="360"/>
      </w:pPr>
      <w:rPr>
        <w:sz w:val="20"/>
      </w:rPr>
    </w:lvl>
    <w:lvl w:ilvl="5" w:tentative="1">
      <w:start w:val="1"/>
      <w:numFmt w:val="bullet"/>
      <w:lvlText w:val="–"/>
      <w:lvlJc w:val="left"/>
      <w:pPr>
        <w:tabs>
          <w:tab w:val="num" w:pos="4320"/>
        </w:tabs>
        <w:ind w:left="360" w:hanging="360"/>
      </w:pPr>
      <w:rPr>
        <w:sz w:val="20"/>
      </w:rPr>
    </w:lvl>
    <w:lvl w:ilvl="6" w:tentative="1">
      <w:start w:val="1"/>
      <w:numFmt w:val="bullet"/>
      <w:lvlText w:val="–"/>
      <w:lvlJc w:val="left"/>
      <w:pPr>
        <w:tabs>
          <w:tab w:val="num" w:pos="5040"/>
        </w:tabs>
        <w:ind w:left="360" w:hanging="360"/>
      </w:pPr>
      <w:rPr>
        <w:sz w:val="20"/>
      </w:rPr>
    </w:lvl>
    <w:lvl w:ilvl="7" w:tentative="1">
      <w:start w:val="1"/>
      <w:numFmt w:val="bullet"/>
      <w:lvlText w:val="–"/>
      <w:lvlJc w:val="left"/>
      <w:pPr>
        <w:tabs>
          <w:tab w:val="num" w:pos="5760"/>
        </w:tabs>
        <w:ind w:left="360" w:hanging="360"/>
      </w:pPr>
      <w:rPr>
        <w:sz w:val="20"/>
      </w:rPr>
    </w:lvl>
    <w:lvl w:ilvl="8" w:tentative="1">
      <w:start w:val="1"/>
      <w:numFmt w:val="bullet"/>
      <w:lvlText w:val="–"/>
      <w:lvlJc w:val="left"/>
      <w:pPr>
        <w:tabs>
          <w:tab w:val="num" w:pos="6480"/>
        </w:tabs>
        <w:ind w:left="360" w:hanging="360"/>
      </w:pPr>
      <w:rPr>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3B5D28"/>
    <w:rsid w:val="003F3417"/>
    <w:rsid w:val="003F51A1"/>
    <w:rsid w:val="00470368"/>
    <w:rsid w:val="00481EBD"/>
    <w:rsid w:val="0048774F"/>
    <w:rsid w:val="00487CAE"/>
    <w:rsid w:val="005B7F13"/>
    <w:rsid w:val="006403CF"/>
    <w:rsid w:val="006F19B3"/>
    <w:rsid w:val="007758E6"/>
    <w:rsid w:val="00794626"/>
    <w:rsid w:val="007F4F00"/>
    <w:rsid w:val="008F2B5A"/>
    <w:rsid w:val="00A43BF6"/>
    <w:rsid w:val="00A87506"/>
    <w:rsid w:val="00AA1532"/>
    <w:rsid w:val="00B231E5"/>
    <w:rsid w:val="00B75052"/>
    <w:rsid w:val="00BF3A6D"/>
    <w:rsid w:val="00C956C3"/>
    <w:rsid w:val="00CE5C71"/>
    <w:rsid w:val="00EF137A"/>
    <w:rsid w:val="00F672B5"/>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pPr>
      <w:keepLines w:val="0"/>
      <w:widowControl/>
      <w:spacing w:before="0" w:after="0" w:line="360" w:lineRule="auto"/>
      <w:ind w:firstLine="567"/>
      <w:jc w:val="both"/>
    </w:pPr>
    <w:rPr>
      <w:rFonts w:ascii="Times New Roman" w:hAnsi="Times New Roman"/>
      <w:sz w:val="24"/>
    </w:rPr>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maintext0"/>
    <w:link w:val="chaptertitlesChar"/>
    <w:qFormat/>
    <w:rsid w:val="007F4F00"/>
    <w:pPr>
      <w:keepNext/>
      <w:spacing w:after="240"/>
      <w:jc w:val="center"/>
    </w:pPr>
    <w:rPr>
      <w:b/>
    </w:rPr>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maintext0"/>
    <w:link w:val="subchaptertitleslevel2Char"/>
    <w:qFormat/>
    <w:rsid w:val="007F4F00"/>
    <w:pPr>
      <w:keepNext/>
      <w:spacing w:before="360" w:after="360"/>
      <w:ind w:firstLine="0"/>
      <w:jc w:val="left"/>
    </w:pPr>
    <w:rPr>
      <w:b/>
    </w:rPr>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pPr>
      <w:keepNext/>
      <w:spacing w:before="360" w:after="360"/>
      <w:ind w:firstLine="0"/>
      <w:jc w:val="left"/>
    </w:pPr>
    <w:rPr>
      <w:b/>
    </w:rPr>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 text"/>
    <w:basedOn w:val="Normal"/>
    <w:link w:val="sourcetextChar"/>
    <w:qFormat/>
    <w:rsid w:val="002411F1"/>
    <w:pPr>
      <w:spacing w:line="360" w:lineRule="auto"/>
      <w:jc w:val="both"/>
    </w:pPr>
    <w:rPr>
      <w:sz w:val="20"/>
    </w:rPr>
  </w:style>
  <w:style w:type="character" w:customStyle="1" w:styleId="sourcetextChar">
    <w:name w:val="source 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21290</Words>
  <Characters>127743</Characters>
  <Application>Microsoft Office Word</Application>
  <DocSecurity>0</DocSecurity>
  <Lines>1064</Lines>
  <Paragraphs>297</Paragraphs>
  <ScaleCrop>false</ScaleCrop>
  <Company/>
  <LinksUpToDate>false</LinksUpToDate>
  <CharactersWithSpaces>148736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19</cp:revision>
  <dcterms:created xsi:type="dcterms:W3CDTF">2025-09-09T17:09:00Z</dcterms:created>
  <dcterms:modified xsi:type="dcterms:W3CDTF">2025-09-27T09:51:00Z</dcterms:modified>
</cp:coreProperties>
</file>