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Task 13 – Evidence Report</w:t>
      </w:r>
    </w:p>
    <w:p>
      <w:pPr>
        <w:spacing w:after="280"/>
        <w:jc w:val="center"/>
      </w:pPr>
      <w:r>
        <w:rPr>
          <w:b/>
          <w:bCs/>
          <w:color w:val="444444"/>
          <w:sz w:val="26"/>
          <w:szCs w:val="26"/>
        </w:rPr>
        <w:t xml:space="preserve">Teardown and Reset Process for the DSYS601 Observability 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rPr>
        <w:tc>
          <w:tcPr>
            <w:tcW w:type="dxa" w:w="2600"/>
            <w:tcMar>
              <w:top w:type="dxa" w:w="60"/>
              <w:left w:type="dxa" w:w="100"/>
              <w:bottom w:type="dxa" w:w="60"/>
              <w:right w:type="dxa" w:w="100"/>
            </w:tcMar>
          </w:tcPr>
          <w:p>
            <w:pPr>
              <w:keepNext/>
            </w:pPr>
            <w:r>
              <w:rPr>
                <w:b w:val="false"/>
                <w:bCs w:val="false"/>
                <w:sz w:val="22"/>
                <w:szCs w:val="22"/>
              </w:rPr>
              <w:t xml:space="preserve">Student</w:t>
            </w:r>
          </w:p>
        </w:tc>
        <w:tc>
          <w:tcPr>
            <w:tcW w:type="dxa" w:w="6400"/>
            <w:tcMar>
              <w:top w:type="dxa" w:w="60"/>
              <w:left w:type="dxa" w:w="100"/>
              <w:bottom w:type="dxa" w:w="60"/>
              <w:right w:type="dxa" w:w="100"/>
            </w:tcMar>
          </w:tcPr>
          <w:p>
            <w:pPr>
              <w:keepNext/>
            </w:pPr>
            <w:r>
              <w:rPr>
                <w:b w:val="false"/>
                <w:bCs w:val="false"/>
                <w:sz w:val="22"/>
                <w:szCs w:val="22"/>
              </w:rPr>
              <w:t xml:space="preserve">Kabir Singh Thukrai</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Student ID</w:t>
            </w:r>
          </w:p>
        </w:tc>
        <w:tc>
          <w:tcPr>
            <w:tcW w:type="dxa" w:w="6400"/>
            <w:tcMar>
              <w:top w:type="dxa" w:w="60"/>
              <w:left w:type="dxa" w:w="100"/>
              <w:bottom w:type="dxa" w:w="60"/>
              <w:right w:type="dxa" w:w="100"/>
            </w:tcMar>
          </w:tcPr>
          <w:p>
            <w:pPr>
              <w:keepNext/>
            </w:pPr>
            <w:r>
              <w:rPr>
                <w:b w:val="false"/>
                <w:bCs w:val="false"/>
                <w:sz w:val="22"/>
                <w:szCs w:val="22"/>
              </w:rPr>
              <w:t xml:space="preserve">99281336</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Course</w:t>
            </w:r>
          </w:p>
        </w:tc>
        <w:tc>
          <w:tcPr>
            <w:tcW w:type="dxa" w:w="6400"/>
            <w:tcMar>
              <w:top w:type="dxa" w:w="60"/>
              <w:left w:type="dxa" w:w="100"/>
              <w:bottom w:type="dxa" w:w="60"/>
              <w:right w:type="dxa" w:w="100"/>
            </w:tcMar>
          </w:tcPr>
          <w:p>
            <w:pPr>
              <w:keepNext/>
            </w:pPr>
            <w:r>
              <w:rPr>
                <w:b w:val="false"/>
                <w:bCs w:val="false"/>
                <w:sz w:val="22"/>
                <w:szCs w:val="22"/>
              </w:rPr>
              <w:t xml:space="preserve">BCIS309 – Work Integrated Learning Project</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Task</w:t>
            </w:r>
          </w:p>
        </w:tc>
        <w:tc>
          <w:tcPr>
            <w:tcW w:type="dxa" w:w="6400"/>
            <w:tcMar>
              <w:top w:type="dxa" w:w="60"/>
              <w:left w:type="dxa" w:w="100"/>
              <w:bottom w:type="dxa" w:w="60"/>
              <w:right w:type="dxa" w:w="100"/>
            </w:tcMar>
          </w:tcPr>
          <w:p>
            <w:pPr>
              <w:keepNext/>
            </w:pPr>
            <w:r>
              <w:rPr>
                <w:b w:val="false"/>
                <w:bCs w:val="false"/>
                <w:sz w:val="22"/>
                <w:szCs w:val="22"/>
              </w:rPr>
              <w:t xml:space="preserve">Task 13 – Formal teardown/reset (decommission) process so the environment can be reliably rebuilt between cohorts</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Scripts</w:t>
            </w:r>
          </w:p>
        </w:tc>
        <w:tc>
          <w:tcPr>
            <w:tcW w:type="dxa" w:w="6400"/>
            <w:tcMar>
              <w:top w:type="dxa" w:w="60"/>
              <w:left w:type="dxa" w:w="100"/>
              <w:bottom w:type="dxa" w:w="60"/>
              <w:right w:type="dxa" w:w="100"/>
            </w:tcMar>
          </w:tcPr>
          <w:p>
            <w:pPr>
              <w:keepNext/>
            </w:pPr>
            <w:r>
              <w:rPr>
                <w:b w:val="false"/>
                <w:bCs w:val="false"/>
                <w:sz w:val="22"/>
                <w:szCs w:val="22"/>
              </w:rPr>
              <w:t xml:space="preserve">teardown-cluster.sh, verify-lab.sh, reset-lab.sh and docs/teardown-reset.md</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Repository</w:t>
            </w:r>
          </w:p>
        </w:tc>
        <w:tc>
          <w:tcPr>
            <w:tcW w:type="dxa" w:w="6400"/>
            <w:tcMar>
              <w:top w:type="dxa" w:w="60"/>
              <w:left w:type="dxa" w:w="100"/>
              <w:bottom w:type="dxa" w:w="60"/>
              <w:right w:type="dxa" w:w="100"/>
            </w:tcMar>
          </w:tcPr>
          <w:p>
            <w:pPr>
              <w:keepNext/>
            </w:pPr>
            <w:r>
              <w:rPr>
                <w:b w:val="false"/>
                <w:bCs w:val="false"/>
                <w:sz w:val="22"/>
                <w:szCs w:val="22"/>
              </w:rPr>
              <w:t xml:space="preserve">https://github.com/kat0870/dsys601-k8s-observability-lab</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Date</w:t>
            </w:r>
          </w:p>
        </w:tc>
        <w:tc>
          <w:tcPr>
            <w:tcW w:type="dxa" w:w="6400"/>
            <w:tcMar>
              <w:top w:type="dxa" w:w="60"/>
              <w:left w:type="dxa" w:w="100"/>
              <w:bottom w:type="dxa" w:w="60"/>
              <w:right w:type="dxa" w:w="100"/>
            </w:tcMar>
          </w:tcPr>
          <w:p>
            <w:pPr>
              <w:keepNext/>
            </w:pPr>
            <w:r>
              <w:rPr>
                <w:b w:val="false"/>
                <w:bCs w:val="false"/>
                <w:sz w:val="22"/>
                <w:szCs w:val="22"/>
              </w:rPr>
              <w:t xml:space="preserve">30 September 2026</w:t>
            </w:r>
          </w:p>
        </w:tc>
      </w:tr>
    </w:tbl>
    <w:p>
      <w:pPr>
        <w:spacing w:after="120"/>
      </w:pPr>
    </w:p>
    <w:p>
      <w:pPr>
        <w:pStyle w:val="Heading1"/>
        <w:spacing w:after="140" w:before="320"/>
      </w:pPr>
      <w:r>
        <w:t xml:space="preserve">1. What this task was about</w:t>
      </w:r>
    </w:p>
    <w:p>
      <w:pPr>
        <w:spacing w:after="150"/>
      </w:pPr>
      <w:r>
        <w:t xml:space="preserve">The brief asks for a formal teardown and reset process, so the lab can be reliably rebuilt between cohorts. In practice that means a safe way to wipe the lab, a quick way to bring it back, a way to check it is healthy, and a written checklist a tutor can follow.</w:t>
      </w:r>
    </w:p>
    <w:p>
      <w:pPr>
        <w:pStyle w:val="Heading1"/>
        <w:spacing w:after="140" w:before="320"/>
      </w:pPr>
      <w:r>
        <w:t xml:space="preserve">2. What the old teardown did</w:t>
      </w:r>
    </w:p>
    <w:p>
      <w:pPr>
        <w:spacing w:after="150"/>
      </w:pPr>
      <w:r>
        <w:t xml:space="preserve">The old teardown-cluster.sh was one line: kind delete cluster. I ran it and checked what was left behind (Figure 1).</w:t>
      </w:r>
    </w:p>
    <w:p>
      <w:pPr>
        <w:keepNext/>
        <w:spacing w:after="80" w:before="120"/>
        <w:jc w:val="center"/>
      </w:pPr>
      <w:r>
        <w:drawing>
          <wp:inline distT="0" distB="0" distL="0" distR="0">
            <wp:extent cx="5334000" cy="1828709"/>
            <wp:effectExtent t="0" r="0" b="0" l="0"/>
            <wp:docPr id="1" name="Figure 1" descr="State of the machine after the old tear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descr=""/>
                    <pic:cNvPicPr>
                      <a:picLocks noChangeAspect="1" noChangeArrowheads="1"/>
                    </pic:cNvPicPr>
                  </pic:nvPicPr>
                  <pic:blipFill>
                    <a:blip r:embed="rId101" cstate="none"/>
                    <a:srcRect/>
                    <a:stretch>
                      <a:fillRect/>
                    </a:stretch>
                  </pic:blipFill>
                  <pic:spPr bwMode="auto">
                    <a:xfrm>
                      <a:off x="0" y="0"/>
                      <a:ext cx="5334000" cy="1828709"/>
                    </a:xfrm>
                    <a:prstGeom prst="rect">
                      <a:avLst/>
                    </a:prstGeom>
                  </pic:spPr>
                </pic:pic>
              </a:graphicData>
            </a:graphic>
          </wp:inline>
        </w:drawing>
      </w:r>
    </w:p>
    <w:p>
      <w:pPr>
        <w:spacing w:after="280"/>
        <w:jc w:val="center"/>
      </w:pPr>
      <w:r>
        <w:rPr>
          <w:i/>
          <w:iCs/>
          <w:color w:val="555555"/>
          <w:sz w:val="20"/>
          <w:szCs w:val="20"/>
        </w:rPr>
        <w:t xml:space="preserve">Figure 1. State of the machine after the old teardown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D9E2F3" w:val="clear"/>
            <w:tcMar>
              <w:top w:type="dxa" w:w="60"/>
              <w:left w:type="dxa" w:w="100"/>
              <w:bottom w:type="dxa" w:w="60"/>
              <w:right w:type="dxa" w:w="100"/>
            </w:tcMar>
          </w:tcPr>
          <w:p>
            <w:pPr>
              <w:keepNext/>
            </w:pPr>
            <w:r>
              <w:rPr>
                <w:b/>
                <w:bCs/>
                <w:sz w:val="22"/>
                <w:szCs w:val="22"/>
              </w:rPr>
              <w:t xml:space="preserve">Item</w:t>
            </w:r>
          </w:p>
        </w:tc>
        <w:tc>
          <w:tcPr>
            <w:tcW w:type="dxa" w:w="5500"/>
            <w:shd w:fill="D9E2F3" w:val="clear"/>
            <w:tcMar>
              <w:top w:type="dxa" w:w="60"/>
              <w:left w:type="dxa" w:w="100"/>
              <w:bottom w:type="dxa" w:w="60"/>
              <w:right w:type="dxa" w:w="100"/>
            </w:tcMar>
          </w:tcPr>
          <w:p>
            <w:pPr>
              <w:keepNext/>
            </w:pPr>
            <w:r>
              <w:rPr>
                <w:b/>
                <w:bCs/>
                <w:sz w:val="22"/>
                <w:szCs w:val="22"/>
              </w:rPr>
              <w:t xml:space="preserve">After old teardown</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Cluster, node containers and node storage</w:t>
            </w:r>
          </w:p>
        </w:tc>
        <w:tc>
          <w:tcPr>
            <w:tcW w:type="dxa" w:w="5500"/>
            <w:tcMar>
              <w:top w:type="dxa" w:w="60"/>
              <w:left w:type="dxa" w:w="100"/>
              <w:bottom w:type="dxa" w:w="60"/>
              <w:right w:type="dxa" w:w="100"/>
            </w:tcMar>
          </w:tcPr>
          <w:p>
            <w:pPr>
              <w:keepNext/>
            </w:pPr>
            <w:r>
              <w:rPr>
                <w:b w:val="false"/>
                <w:bCs w:val="false"/>
                <w:sz w:val="22"/>
                <w:szCs w:val="22"/>
              </w:rPr>
              <w:t xml:space="preserve">Removed</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kubectl context</w:t>
            </w:r>
          </w:p>
        </w:tc>
        <w:tc>
          <w:tcPr>
            <w:tcW w:type="dxa" w:w="5500"/>
            <w:tcMar>
              <w:top w:type="dxa" w:w="60"/>
              <w:left w:type="dxa" w:w="100"/>
              <w:bottom w:type="dxa" w:w="60"/>
              <w:right w:type="dxa" w:w="100"/>
            </w:tcMar>
          </w:tcPr>
          <w:p>
            <w:pPr>
              <w:keepNext/>
            </w:pPr>
            <w:r>
              <w:rPr>
                <w:b w:val="false"/>
                <w:bCs w:val="false"/>
                <w:sz w:val="22"/>
                <w:szCs w:val="22"/>
              </w:rPr>
              <w:t xml:space="preserve">Removed</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kind Docker network</w:t>
            </w:r>
          </w:p>
        </w:tc>
        <w:tc>
          <w:tcPr>
            <w:tcW w:type="dxa" w:w="5500"/>
            <w:tcMar>
              <w:top w:type="dxa" w:w="60"/>
              <w:left w:type="dxa" w:w="100"/>
              <w:bottom w:type="dxa" w:w="60"/>
              <w:right w:type="dxa" w:w="100"/>
            </w:tcMar>
          </w:tcPr>
          <w:p>
            <w:pPr>
              <w:keepNext/>
            </w:pPr>
            <w:r>
              <w:rPr>
                <w:b w:val="false"/>
                <w:bCs w:val="false"/>
                <w:sz w:val="22"/>
                <w:szCs w:val="22"/>
              </w:rPr>
              <w:t xml:space="preserve">Kept (Kind reuses it, so this is fine)</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minikube-testw volume</w:t>
            </w:r>
          </w:p>
        </w:tc>
        <w:tc>
          <w:tcPr>
            <w:tcW w:type="dxa" w:w="5500"/>
            <w:tcMar>
              <w:top w:type="dxa" w:w="60"/>
              <w:left w:type="dxa" w:w="100"/>
              <w:bottom w:type="dxa" w:w="60"/>
              <w:right w:type="dxa" w:w="100"/>
            </w:tcMar>
          </w:tcPr>
          <w:p>
            <w:pPr>
              <w:keepNext/>
            </w:pPr>
            <w:r>
              <w:rPr>
                <w:b w:val="false"/>
                <w:bCs w:val="false"/>
                <w:sz w:val="22"/>
                <w:szCs w:val="22"/>
              </w:rPr>
              <w:t xml:space="preserve">Left behind (leftover from Task 2)</w:t>
            </w:r>
          </w:p>
        </w:tc>
      </w:tr>
    </w:tbl>
    <w:p>
      <w:pPr>
        <w:spacing w:after="120"/>
      </w:pPr>
    </w:p>
    <w:p>
      <w:pPr>
        <w:spacing w:after="150"/>
      </w:pPr>
      <w:r>
        <w:t xml:space="preserve">So the clean-up itself was fine. The problems were that it deleted straight away with no confirmation, it did not check that anything was actually removed, and it failed if there was no cluster.</w:t>
      </w:r>
    </w:p>
    <w:p>
      <w:pPr>
        <w:pStyle w:val="Heading1"/>
        <w:spacing w:after="140" w:before="320"/>
      </w:pPr>
      <w:r>
        <w:t xml:space="preserve">3. A safer teardown script</w:t>
      </w:r>
    </w:p>
    <w:p>
      <w:pPr>
        <w:spacing w:after="150"/>
      </w:pPr>
      <w:r>
        <w:t xml:space="preserve">I rewrote teardown-cluster.sh. It now asks you to type the cluster name before deleting, does nothing if there is no cluster, and checks afterwards that the node containers and kubectl context are gone. A --yes option skips the prompt so the reset script can use it.</w:t>
      </w:r>
    </w:p>
    <w:p>
      <w:pPr>
        <w:spacing w:after="150"/>
      </w:pPr>
      <w:r>
        <w:t xml:space="preserve">With no cluster running it just said there was nothing to delete (Figure 2).</w:t>
      </w:r>
    </w:p>
    <w:p>
      <w:pPr>
        <w:keepNext/>
        <w:spacing w:after="80" w:before="120"/>
        <w:jc w:val="center"/>
      </w:pPr>
      <w:r>
        <w:drawing>
          <wp:inline distT="0" distB="0" distL="0" distR="0">
            <wp:extent cx="5334000" cy="2983637"/>
            <wp:effectExtent t="0" r="0" b="0" l="0"/>
            <wp:docPr id="2" name="Figure 2" descr="New teardown script with no cluster: nothing to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descr=""/>
                    <pic:cNvPicPr>
                      <a:picLocks noChangeAspect="1" noChangeArrowheads="1"/>
                    </pic:cNvPicPr>
                  </pic:nvPicPr>
                  <pic:blipFill>
                    <a:blip r:embed="rId102" cstate="none"/>
                    <a:srcRect/>
                    <a:stretch>
                      <a:fillRect/>
                    </a:stretch>
                  </pic:blipFill>
                  <pic:spPr bwMode="auto">
                    <a:xfrm>
                      <a:off x="0" y="0"/>
                      <a:ext cx="5334000" cy="2983637"/>
                    </a:xfrm>
                    <a:prstGeom prst="rect">
                      <a:avLst/>
                    </a:prstGeom>
                  </pic:spPr>
                </pic:pic>
              </a:graphicData>
            </a:graphic>
          </wp:inline>
        </w:drawing>
      </w:r>
    </w:p>
    <w:p>
      <w:pPr>
        <w:spacing w:after="280"/>
        <w:jc w:val="center"/>
      </w:pPr>
      <w:r>
        <w:rPr>
          <w:i/>
          <w:iCs/>
          <w:color w:val="555555"/>
          <w:sz w:val="20"/>
          <w:szCs w:val="20"/>
        </w:rPr>
        <w:t xml:space="preserve">Figure 2. New teardown script with no cluster: nothing to delete</w:t>
      </w:r>
    </w:p>
    <w:p>
      <w:pPr>
        <w:pStyle w:val="Heading1"/>
        <w:spacing w:after="140" w:before="320"/>
      </w:pPr>
      <w:r>
        <w:t xml:space="preserve">4. A health check script</w:t>
      </w:r>
    </w:p>
    <w:p>
      <w:pPr>
        <w:spacing w:after="150"/>
      </w:pPr>
      <w:r>
        <w:t xml:space="preserve">I added verify-lab.sh. It runs 11 checks and prints PASS or FAIL for each, then LAB READY or LAB NOT READY. It checks the nodes, system pods, demo app, Prometheus, Alertmanager, node-exporter, the Helm chart version, and that the DSYS601 alert rules and dashboard are loaded.</w:t>
      </w:r>
    </w:p>
    <w:p>
      <w:pPr>
        <w:spacing w:after="100" w:before="220"/>
      </w:pPr>
      <w:r>
        <w:rPr>
          <w:b/>
          <w:bCs/>
        </w:rPr>
        <w:t xml:space="preserve">A bug found by testing</w:t>
      </w:r>
    </w:p>
    <w:p>
      <w:pPr>
        <w:spacing w:after="150"/>
      </w:pPr>
      <w:r>
        <w:t xml:space="preserve">I first ran it with no cluster, expecting every check to fail. One check said PASS instead. It looked for pods that were not Running, and with no cluster it found none. I changed it so kubectl has to return pods before it can pass. After that all 11 checks failed correctly (Figure 3).</w:t>
      </w:r>
    </w:p>
    <w:p>
      <w:pPr>
        <w:keepNext/>
        <w:spacing w:after="80" w:before="120"/>
        <w:jc w:val="center"/>
      </w:pPr>
      <w:r>
        <w:drawing>
          <wp:inline distT="0" distB="0" distL="0" distR="0">
            <wp:extent cx="5334000" cy="2544251"/>
            <wp:effectExtent t="0" r="0" b="0" l="0"/>
            <wp:docPr id="3" name="Figure 3" descr="All 11 checks fail with no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descr=""/>
                    <pic:cNvPicPr>
                      <a:picLocks noChangeAspect="1" noChangeArrowheads="1"/>
                    </pic:cNvPicPr>
                  </pic:nvPicPr>
                  <pic:blipFill>
                    <a:blip r:embed="rId103" cstate="none"/>
                    <a:srcRect/>
                    <a:stretch>
                      <a:fillRect/>
                    </a:stretch>
                  </pic:blipFill>
                  <pic:spPr bwMode="auto">
                    <a:xfrm>
                      <a:off x="0" y="0"/>
                      <a:ext cx="5334000" cy="2544251"/>
                    </a:xfrm>
                    <a:prstGeom prst="rect">
                      <a:avLst/>
                    </a:prstGeom>
                  </pic:spPr>
                </pic:pic>
              </a:graphicData>
            </a:graphic>
          </wp:inline>
        </w:drawing>
      </w:r>
    </w:p>
    <w:p>
      <w:pPr>
        <w:spacing w:after="280"/>
        <w:jc w:val="center"/>
      </w:pPr>
      <w:r>
        <w:rPr>
          <w:i/>
          <w:iCs/>
          <w:color w:val="555555"/>
          <w:sz w:val="20"/>
          <w:szCs w:val="20"/>
        </w:rPr>
        <w:t xml:space="preserve">Figure 3. All 11 checks fail with no cluster</w:t>
      </w:r>
    </w:p>
    <w:p>
      <w:pPr>
        <w:pStyle w:val="Heading1"/>
        <w:spacing w:after="140" w:before="320"/>
      </w:pPr>
      <w:r>
        <w:t xml:space="preserve">5. One-command reset</w:t>
      </w:r>
    </w:p>
    <w:p>
      <w:pPr>
        <w:spacing w:after="150"/>
      </w:pPr>
      <w:r>
        <w:t xml:space="preserve">reset-lab.sh does the whole reset in five steps: teardown, build the cluster, deploy the demo app, install monitoring, and run the health check. It asks you to type RESET first, warns if the repo has uncommitted changes, stops if .env is missing, and prints how long it took.</w:t>
      </w:r>
    </w:p>
    <w:p>
      <w:pPr>
        <w:keepLines/>
        <w:pBdr>
          <w:top w:val="single" w:color="CCCCCC" w:sz="2"/>
          <w:left w:val="single" w:color="CCCCCC" w:sz="2"/>
          <w:bottom w:val="single" w:color="CCCCCC" w:sz="2"/>
          <w:right w:val="single" w:color="CCCCCC" w:sz="2"/>
        </w:pBdr>
        <w:shd w:fill="F2F2F2" w:val="clear"/>
        <w:spacing w:after="200" w:before="100"/>
      </w:pPr>
      <w:r>
        <w:rPr>
          <w:rFonts w:ascii="Consolas" w:cs="Consolas" w:eastAsia="Consolas" w:hAnsi="Consolas"/>
          <w:sz w:val="19"/>
          <w:szCs w:val="19"/>
        </w:rPr>
        <w:t xml:space="preserve">./reset-lab.sh</w:t>
      </w:r>
    </w:p>
    <w:p>
      <w:pPr>
        <w:spacing w:after="150"/>
      </w:pPr>
      <w:r>
        <w:t xml:space="preserve">I committed the scripts before testing, so the version I tested is the one on GitHub. The first run built the lab from nothing and all 11 checks passed in 1 min 48 s (Figure 4).</w:t>
      </w:r>
    </w:p>
    <w:p>
      <w:pPr>
        <w:keepNext/>
        <w:spacing w:after="80" w:before="120"/>
        <w:jc w:val="center"/>
      </w:pPr>
      <w:r>
        <w:drawing>
          <wp:inline distT="0" distB="0" distL="0" distR="0">
            <wp:extent cx="5334000" cy="3004495"/>
            <wp:effectExtent t="0" r="0" b="0" l="0"/>
            <wp:docPr id="4" name="Figure 4" descr="First reset: LAB READY in 1 min 48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descr=""/>
                    <pic:cNvPicPr>
                      <a:picLocks noChangeAspect="1" noChangeArrowheads="1"/>
                    </pic:cNvPicPr>
                  </pic:nvPicPr>
                  <pic:blipFill>
                    <a:blip r:embed="rId104" cstate="none"/>
                    <a:srcRect/>
                    <a:stretch>
                      <a:fillRect/>
                    </a:stretch>
                  </pic:blipFill>
                  <pic:spPr bwMode="auto">
                    <a:xfrm>
                      <a:off x="0" y="0"/>
                      <a:ext cx="5334000" cy="3004495"/>
                    </a:xfrm>
                    <a:prstGeom prst="rect">
                      <a:avLst/>
                    </a:prstGeom>
                  </pic:spPr>
                </pic:pic>
              </a:graphicData>
            </a:graphic>
          </wp:inline>
        </w:drawing>
      </w:r>
    </w:p>
    <w:p>
      <w:pPr>
        <w:spacing w:after="280"/>
        <w:jc w:val="center"/>
      </w:pPr>
      <w:r>
        <w:rPr>
          <w:i/>
          <w:iCs/>
          <w:color w:val="555555"/>
          <w:sz w:val="20"/>
          <w:szCs w:val="20"/>
        </w:rPr>
        <w:t xml:space="preserve">Figure 4. First reset: LAB READY in 1 min 48 s</w:t>
      </w:r>
    </w:p>
    <w:p>
      <w:pPr>
        <w:pStyle w:val="Heading1"/>
        <w:spacing w:after="140" w:before="320"/>
      </w:pPr>
      <w:r>
        <w:t xml:space="preserve">6. Resetting a used lab</w:t>
      </w:r>
    </w:p>
    <w:p>
      <w:pPr>
        <w:spacing w:after="150"/>
      </w:pPr>
      <w:r>
        <w:t xml:space="preserve">The real case between cohorts is a lab that students have used. To simulate that, I created a student namespace with a pod, and broke the demo app by scaling the frontend to 0 (Figure 5).</w:t>
      </w:r>
    </w:p>
    <w:p>
      <w:pPr>
        <w:keepNext/>
        <w:spacing w:after="80" w:before="120"/>
        <w:jc w:val="center"/>
      </w:pPr>
      <w:r>
        <w:drawing>
          <wp:inline distT="0" distB="0" distL="0" distR="0">
            <wp:extent cx="5334000" cy="1748703"/>
            <wp:effectExtent t="0" r="0" b="0" l="0"/>
            <wp:docPr id="5" name="Figure 5" descr="The lab after simulated student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descr=""/>
                    <pic:cNvPicPr>
                      <a:picLocks noChangeAspect="1" noChangeArrowheads="1"/>
                    </pic:cNvPicPr>
                  </pic:nvPicPr>
                  <pic:blipFill>
                    <a:blip r:embed="rId105" cstate="none"/>
                    <a:srcRect/>
                    <a:stretch>
                      <a:fillRect/>
                    </a:stretch>
                  </pic:blipFill>
                  <pic:spPr bwMode="auto">
                    <a:xfrm>
                      <a:off x="0" y="0"/>
                      <a:ext cx="5334000" cy="1748703"/>
                    </a:xfrm>
                    <a:prstGeom prst="rect">
                      <a:avLst/>
                    </a:prstGeom>
                  </pic:spPr>
                </pic:pic>
              </a:graphicData>
            </a:graphic>
          </wp:inline>
        </w:drawing>
      </w:r>
    </w:p>
    <w:p>
      <w:pPr>
        <w:spacing w:after="280"/>
        <w:jc w:val="center"/>
      </w:pPr>
      <w:r>
        <w:rPr>
          <w:i/>
          <w:iCs/>
          <w:color w:val="555555"/>
          <w:sz w:val="20"/>
          <w:szCs w:val="20"/>
        </w:rPr>
        <w:t xml:space="preserve">Figure 5. The lab after simulated student use</w:t>
      </w:r>
    </w:p>
    <w:p>
      <w:pPr>
        <w:spacing w:after="150"/>
      </w:pPr>
      <w:r>
        <w:t xml:space="preserve">Then I ran the reset again. All 11 checks passed in 1 min 47 s (Figure 6).</w:t>
      </w:r>
    </w:p>
    <w:p>
      <w:pPr>
        <w:keepNext/>
        <w:spacing w:after="80" w:before="120"/>
        <w:jc w:val="center"/>
      </w:pPr>
      <w:r>
        <w:drawing>
          <wp:inline distT="0" distB="0" distL="0" distR="0">
            <wp:extent cx="5334000" cy="3045800"/>
            <wp:effectExtent t="0" r="0" b="0" l="0"/>
            <wp:docPr id="6" name="Figure 6" descr="Reset of the used lab: LAB READY in 1 min 47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descr=""/>
                    <pic:cNvPicPr>
                      <a:picLocks noChangeAspect="1" noChangeArrowheads="1"/>
                    </pic:cNvPicPr>
                  </pic:nvPicPr>
                  <pic:blipFill>
                    <a:blip r:embed="rId106" cstate="none"/>
                    <a:srcRect/>
                    <a:stretch>
                      <a:fillRect/>
                    </a:stretch>
                  </pic:blipFill>
                  <pic:spPr bwMode="auto">
                    <a:xfrm>
                      <a:off x="0" y="0"/>
                      <a:ext cx="5334000" cy="3045800"/>
                    </a:xfrm>
                    <a:prstGeom prst="rect">
                      <a:avLst/>
                    </a:prstGeom>
                  </pic:spPr>
                </pic:pic>
              </a:graphicData>
            </a:graphic>
          </wp:inline>
        </w:drawing>
      </w:r>
    </w:p>
    <w:p>
      <w:pPr>
        <w:spacing w:after="280"/>
        <w:jc w:val="center"/>
      </w:pPr>
      <w:r>
        <w:rPr>
          <w:i/>
          <w:iCs/>
          <w:color w:val="555555"/>
          <w:sz w:val="20"/>
          <w:szCs w:val="20"/>
        </w:rPr>
        <w:t xml:space="preserve">Figure 6. Reset of the used lab: LAB READY in 1 min 47 s</w:t>
      </w:r>
    </w:p>
    <w:p>
      <w:pPr>
        <w:spacing w:after="150"/>
      </w:pPr>
      <w:r>
        <w:t xml:space="preserve">The teardown reported CLEAN, the student namespace was gone, and the frontend was back to 2/2 (Figure 7).</w:t>
      </w:r>
    </w:p>
    <w:p>
      <w:pPr>
        <w:keepNext/>
        <w:spacing w:after="80" w:before="120"/>
        <w:jc w:val="center"/>
      </w:pPr>
      <w:r>
        <w:drawing>
          <wp:inline distT="0" distB="0" distL="0" distR="0">
            <wp:extent cx="5334000" cy="1551214"/>
            <wp:effectExtent t="0" r="0" b="0" l="0"/>
            <wp:docPr id="7" name="Figure 7" descr="Teardown CLEAN, student work gone, frontend re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descr=""/>
                    <pic:cNvPicPr>
                      <a:picLocks noChangeAspect="1" noChangeArrowheads="1"/>
                    </pic:cNvPicPr>
                  </pic:nvPicPr>
                  <pic:blipFill>
                    <a:blip r:embed="rId107" cstate="none"/>
                    <a:srcRect/>
                    <a:stretch>
                      <a:fillRect/>
                    </a:stretch>
                  </pic:blipFill>
                  <pic:spPr bwMode="auto">
                    <a:xfrm>
                      <a:off x="0" y="0"/>
                      <a:ext cx="5334000" cy="1551214"/>
                    </a:xfrm>
                    <a:prstGeom prst="rect">
                      <a:avLst/>
                    </a:prstGeom>
                  </pic:spPr>
                </pic:pic>
              </a:graphicData>
            </a:graphic>
          </wp:inline>
        </w:drawing>
      </w:r>
    </w:p>
    <w:p>
      <w:pPr>
        <w:spacing w:after="280"/>
        <w:jc w:val="center"/>
      </w:pPr>
      <w:r>
        <w:rPr>
          <w:i/>
          <w:iCs/>
          <w:color w:val="555555"/>
          <w:sz w:val="20"/>
          <w:szCs w:val="20"/>
        </w:rPr>
        <w:t xml:space="preserve">Figure 7. Teardown CLEAN, student work gone, frontend restored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Mar>
              <w:top w:type="dxa" w:w="60"/>
              <w:left w:type="dxa" w:w="100"/>
              <w:bottom w:type="dxa" w:w="60"/>
              <w:right w:type="dxa" w:w="100"/>
            </w:tcMar>
          </w:tcPr>
          <w:p>
            <w:pPr>
              <w:keepNext/>
            </w:pPr>
            <w:r>
              <w:rPr>
                <w:b/>
                <w:bCs/>
                <w:sz w:val="22"/>
                <w:szCs w:val="22"/>
              </w:rPr>
              <w:t xml:space="preserve">Item</w:t>
            </w:r>
          </w:p>
        </w:tc>
        <w:tc>
          <w:tcPr>
            <w:tcW w:type="dxa" w:w="3000"/>
            <w:shd w:fill="D9E2F3" w:val="clear"/>
            <w:tcMar>
              <w:top w:type="dxa" w:w="60"/>
              <w:left w:type="dxa" w:w="100"/>
              <w:bottom w:type="dxa" w:w="60"/>
              <w:right w:type="dxa" w:w="100"/>
            </w:tcMar>
          </w:tcPr>
          <w:p>
            <w:pPr>
              <w:keepNext/>
            </w:pPr>
            <w:r>
              <w:rPr>
                <w:b/>
                <w:bCs/>
                <w:sz w:val="22"/>
                <w:szCs w:val="22"/>
              </w:rPr>
              <w:t xml:space="preserve">Before reset</w:t>
            </w:r>
          </w:p>
        </w:tc>
        <w:tc>
          <w:tcPr>
            <w:tcW w:type="dxa" w:w="3000"/>
            <w:shd w:fill="D9E2F3" w:val="clear"/>
            <w:tcMar>
              <w:top w:type="dxa" w:w="60"/>
              <w:left w:type="dxa" w:w="100"/>
              <w:bottom w:type="dxa" w:w="60"/>
              <w:right w:type="dxa" w:w="100"/>
            </w:tcMar>
          </w:tcPr>
          <w:p>
            <w:pPr>
              <w:keepNext/>
            </w:pPr>
            <w:r>
              <w:rPr>
                <w:b/>
                <w:bCs/>
                <w:sz w:val="22"/>
                <w:szCs w:val="22"/>
              </w:rPr>
              <w:t xml:space="preserve">After reset</w:t>
            </w:r>
          </w:p>
        </w:tc>
      </w:tr>
      <w:tr>
        <w:trPr>
          <w:cantSplit/>
        </w:trPr>
        <w:tc>
          <w:tcPr>
            <w:tcW w:type="dxa" w:w="3000"/>
            <w:tcMar>
              <w:top w:type="dxa" w:w="60"/>
              <w:left w:type="dxa" w:w="100"/>
              <w:bottom w:type="dxa" w:w="60"/>
              <w:right w:type="dxa" w:w="100"/>
            </w:tcMar>
          </w:tcPr>
          <w:p>
            <w:pPr>
              <w:keepNext/>
            </w:pPr>
            <w:r>
              <w:rPr>
                <w:b w:val="false"/>
                <w:bCs w:val="false"/>
                <w:sz w:val="22"/>
                <w:szCs w:val="22"/>
              </w:rPr>
              <w:t xml:space="preserve">student-work namespace</w:t>
            </w:r>
          </w:p>
        </w:tc>
        <w:tc>
          <w:tcPr>
            <w:tcW w:type="dxa" w:w="3000"/>
            <w:tcMar>
              <w:top w:type="dxa" w:w="60"/>
              <w:left w:type="dxa" w:w="100"/>
              <w:bottom w:type="dxa" w:w="60"/>
              <w:right w:type="dxa" w:w="100"/>
            </w:tcMar>
          </w:tcPr>
          <w:p>
            <w:pPr>
              <w:keepNext/>
            </w:pPr>
            <w:r>
              <w:rPr>
                <w:b w:val="false"/>
                <w:bCs w:val="false"/>
                <w:sz w:val="22"/>
                <w:szCs w:val="22"/>
              </w:rPr>
              <w:t xml:space="preserve">Active</w:t>
            </w:r>
          </w:p>
        </w:tc>
        <w:tc>
          <w:tcPr>
            <w:tcW w:type="dxa" w:w="3000"/>
            <w:tcMar>
              <w:top w:type="dxa" w:w="60"/>
              <w:left w:type="dxa" w:w="100"/>
              <w:bottom w:type="dxa" w:w="60"/>
              <w:right w:type="dxa" w:w="100"/>
            </w:tcMar>
          </w:tcPr>
          <w:p>
            <w:pPr>
              <w:keepNext/>
            </w:pPr>
            <w:r>
              <w:rPr>
                <w:b w:val="false"/>
                <w:bCs w:val="false"/>
                <w:sz w:val="22"/>
                <w:szCs w:val="22"/>
              </w:rPr>
              <w:t xml:space="preserve">Gone</w:t>
            </w:r>
          </w:p>
        </w:tc>
      </w:tr>
      <w:tr>
        <w:trPr>
          <w:cantSplit/>
        </w:trPr>
        <w:tc>
          <w:tcPr>
            <w:tcW w:type="dxa" w:w="3000"/>
            <w:tcMar>
              <w:top w:type="dxa" w:w="60"/>
              <w:left w:type="dxa" w:w="100"/>
              <w:bottom w:type="dxa" w:w="60"/>
              <w:right w:type="dxa" w:w="100"/>
            </w:tcMar>
          </w:tcPr>
          <w:p>
            <w:pPr>
              <w:keepNext/>
            </w:pPr>
            <w:r>
              <w:rPr>
                <w:b w:val="false"/>
                <w:bCs w:val="false"/>
                <w:sz w:val="22"/>
                <w:szCs w:val="22"/>
              </w:rPr>
              <w:t xml:space="preserve">student-pod</w:t>
            </w:r>
          </w:p>
        </w:tc>
        <w:tc>
          <w:tcPr>
            <w:tcW w:type="dxa" w:w="3000"/>
            <w:tcMar>
              <w:top w:type="dxa" w:w="60"/>
              <w:left w:type="dxa" w:w="100"/>
              <w:bottom w:type="dxa" w:w="60"/>
              <w:right w:type="dxa" w:w="100"/>
            </w:tcMar>
          </w:tcPr>
          <w:p>
            <w:pPr>
              <w:keepNext/>
            </w:pPr>
            <w:r>
              <w:rPr>
                <w:b w:val="false"/>
                <w:bCs w:val="false"/>
                <w:sz w:val="22"/>
                <w:szCs w:val="22"/>
              </w:rPr>
              <w:t xml:space="preserve">Running</w:t>
            </w:r>
          </w:p>
        </w:tc>
        <w:tc>
          <w:tcPr>
            <w:tcW w:type="dxa" w:w="3000"/>
            <w:tcMar>
              <w:top w:type="dxa" w:w="60"/>
              <w:left w:type="dxa" w:w="100"/>
              <w:bottom w:type="dxa" w:w="60"/>
              <w:right w:type="dxa" w:w="100"/>
            </w:tcMar>
          </w:tcPr>
          <w:p>
            <w:pPr>
              <w:keepNext/>
            </w:pPr>
            <w:r>
              <w:rPr>
                <w:b w:val="false"/>
                <w:bCs w:val="false"/>
                <w:sz w:val="22"/>
                <w:szCs w:val="22"/>
              </w:rPr>
              <w:t xml:space="preserve">Gone</w:t>
            </w:r>
          </w:p>
        </w:tc>
      </w:tr>
      <w:tr>
        <w:trPr>
          <w:cantSplit/>
        </w:trPr>
        <w:tc>
          <w:tcPr>
            <w:tcW w:type="dxa" w:w="3000"/>
            <w:tcMar>
              <w:top w:type="dxa" w:w="60"/>
              <w:left w:type="dxa" w:w="100"/>
              <w:bottom w:type="dxa" w:w="60"/>
              <w:right w:type="dxa" w:w="100"/>
            </w:tcMar>
          </w:tcPr>
          <w:p>
            <w:pPr>
              <w:keepNext/>
            </w:pPr>
            <w:r>
              <w:rPr>
                <w:b w:val="false"/>
                <w:bCs w:val="false"/>
                <w:sz w:val="22"/>
                <w:szCs w:val="22"/>
              </w:rPr>
              <w:t xml:space="preserve">frontend</w:t>
            </w:r>
          </w:p>
        </w:tc>
        <w:tc>
          <w:tcPr>
            <w:tcW w:type="dxa" w:w="3000"/>
            <w:tcMar>
              <w:top w:type="dxa" w:w="60"/>
              <w:left w:type="dxa" w:w="100"/>
              <w:bottom w:type="dxa" w:w="60"/>
              <w:right w:type="dxa" w:w="100"/>
            </w:tcMar>
          </w:tcPr>
          <w:p>
            <w:pPr>
              <w:keepNext/>
            </w:pPr>
            <w:r>
              <w:rPr>
                <w:b w:val="false"/>
                <w:bCs w:val="false"/>
                <w:sz w:val="22"/>
                <w:szCs w:val="22"/>
              </w:rPr>
              <w:t xml:space="preserve">0/0</w:t>
            </w:r>
          </w:p>
        </w:tc>
        <w:tc>
          <w:tcPr>
            <w:tcW w:type="dxa" w:w="3000"/>
            <w:tcMar>
              <w:top w:type="dxa" w:w="60"/>
              <w:left w:type="dxa" w:w="100"/>
              <w:bottom w:type="dxa" w:w="60"/>
              <w:right w:type="dxa" w:w="100"/>
            </w:tcMar>
          </w:tcPr>
          <w:p>
            <w:pPr>
              <w:keepNext/>
            </w:pPr>
            <w:r>
              <w:rPr>
                <w:b w:val="false"/>
                <w:bCs w:val="false"/>
                <w:sz w:val="22"/>
                <w:szCs w:val="22"/>
              </w:rPr>
              <w:t xml:space="preserve">2/2</w:t>
            </w:r>
          </w:p>
        </w:tc>
      </w:tr>
      <w:tr>
        <w:trPr>
          <w:cantSplit/>
        </w:trPr>
        <w:tc>
          <w:tcPr>
            <w:tcW w:type="dxa" w:w="3000"/>
            <w:tcMar>
              <w:top w:type="dxa" w:w="60"/>
              <w:left w:type="dxa" w:w="100"/>
              <w:bottom w:type="dxa" w:w="60"/>
              <w:right w:type="dxa" w:w="100"/>
            </w:tcMar>
          </w:tcPr>
          <w:p>
            <w:pPr>
              <w:keepNext/>
            </w:pPr>
            <w:r>
              <w:rPr>
                <w:b w:val="false"/>
                <w:bCs w:val="false"/>
                <w:sz w:val="22"/>
                <w:szCs w:val="22"/>
              </w:rPr>
              <w:t xml:space="preserve">Health check</w:t>
            </w:r>
          </w:p>
        </w:tc>
        <w:tc>
          <w:tcPr>
            <w:tcW w:type="dxa" w:w="3000"/>
            <w:tcMar>
              <w:top w:type="dxa" w:w="60"/>
              <w:left w:type="dxa" w:w="100"/>
              <w:bottom w:type="dxa" w:w="60"/>
              <w:right w:type="dxa" w:w="100"/>
            </w:tcMar>
          </w:tcPr>
          <w:p>
            <w:pPr>
              <w:keepNext/>
            </w:pPr>
            <w:r>
              <w:rPr>
                <w:b w:val="false"/>
                <w:bCs w:val="false"/>
                <w:sz w:val="22"/>
                <w:szCs w:val="22"/>
              </w:rPr>
              <w:t xml:space="preserve">–</w:t>
            </w:r>
          </w:p>
        </w:tc>
        <w:tc>
          <w:tcPr>
            <w:tcW w:type="dxa" w:w="3000"/>
            <w:tcMar>
              <w:top w:type="dxa" w:w="60"/>
              <w:left w:type="dxa" w:w="100"/>
              <w:bottom w:type="dxa" w:w="60"/>
              <w:right w:type="dxa" w:w="100"/>
            </w:tcMar>
          </w:tcPr>
          <w:p>
            <w:pPr>
              <w:keepNext/>
            </w:pPr>
            <w:r>
              <w:rPr>
                <w:b w:val="false"/>
                <w:bCs w:val="false"/>
                <w:sz w:val="22"/>
                <w:szCs w:val="22"/>
              </w:rPr>
              <w:t xml:space="preserve">11/11 PASS</w:t>
            </w:r>
          </w:p>
        </w:tc>
      </w:tr>
    </w:tbl>
    <w:p>
      <w:pPr>
        <w:spacing w:after="120"/>
      </w:pPr>
    </w:p>
    <w:p>
      <w:pPr>
        <w:pStyle w:val="Heading1"/>
        <w:spacing w:after="140" w:before="320"/>
      </w:pPr>
      <w:r>
        <w:t xml:space="preserve">7. Safety test</w:t>
      </w:r>
    </w:p>
    <w:p>
      <w:pPr>
        <w:spacing w:after="150"/>
      </w:pPr>
      <w:r>
        <w:t xml:space="preserve">I ran the teardown and typed "no" at the prompt. It said Cancelled and the cluster was still there (Figure 8), so a tutor cannot wipe the lab by accident.</w:t>
      </w:r>
    </w:p>
    <w:p>
      <w:pPr>
        <w:keepNext/>
        <w:spacing w:after="80" w:before="120"/>
        <w:jc w:val="center"/>
      </w:pPr>
      <w:r>
        <w:drawing>
          <wp:inline distT="0" distB="0" distL="0" distR="0">
            <wp:extent cx="5334000" cy="1951694"/>
            <wp:effectExtent t="0" r="0" b="0" l="0"/>
            <wp:docPr id="8" name="Figure 8" descr="Teardown cancelled at the safety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descr=""/>
                    <pic:cNvPicPr>
                      <a:picLocks noChangeAspect="1" noChangeArrowheads="1"/>
                    </pic:cNvPicPr>
                  </pic:nvPicPr>
                  <pic:blipFill>
                    <a:blip r:embed="rId108" cstate="none"/>
                    <a:srcRect/>
                    <a:stretch>
                      <a:fillRect/>
                    </a:stretch>
                  </pic:blipFill>
                  <pic:spPr bwMode="auto">
                    <a:xfrm>
                      <a:off x="0" y="0"/>
                      <a:ext cx="5334000" cy="1951694"/>
                    </a:xfrm>
                    <a:prstGeom prst="rect">
                      <a:avLst/>
                    </a:prstGeom>
                  </pic:spPr>
                </pic:pic>
              </a:graphicData>
            </a:graphic>
          </wp:inline>
        </w:drawing>
      </w:r>
    </w:p>
    <w:p>
      <w:pPr>
        <w:spacing w:after="280"/>
        <w:jc w:val="center"/>
      </w:pPr>
      <w:r>
        <w:rPr>
          <w:i/>
          <w:iCs/>
          <w:color w:val="555555"/>
          <w:sz w:val="20"/>
          <w:szCs w:val="20"/>
        </w:rPr>
        <w:t xml:space="preserve">Figure 8. Teardown cancelled at the safety prompt</w:t>
      </w:r>
    </w:p>
    <w:p>
      <w:pPr>
        <w:pStyle w:val="Heading1"/>
        <w:spacing w:after="140" w:before="320"/>
      </w:pPr>
      <w:r>
        <w:t xml:space="preserve">8. Cleaning up old leftovers</w:t>
      </w:r>
    </w:p>
    <w:p>
      <w:pPr>
        <w:spacing w:after="150"/>
      </w:pPr>
      <w:r>
        <w:t xml:space="preserve">I removed three leftovers from earlier tasks: the minikube-testw volume, the Task 12 test folder (which also had a copy of the password file), and an old config file. Only the three volumes for the current cluster remain (Figure 9).</w:t>
      </w:r>
    </w:p>
    <w:p>
      <w:pPr>
        <w:keepNext/>
        <w:spacing w:after="80" w:before="120"/>
        <w:jc w:val="center"/>
      </w:pPr>
      <w:r>
        <w:drawing>
          <wp:inline distT="0" distB="0" distL="0" distR="0">
            <wp:extent cx="5334000" cy="2761553"/>
            <wp:effectExtent t="0" r="0" b="0" l="0"/>
            <wp:docPr id="9" name="Figure 9" descr="Docker volumes and home folder after the clea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descr=""/>
                    <pic:cNvPicPr>
                      <a:picLocks noChangeAspect="1" noChangeArrowheads="1"/>
                    </pic:cNvPicPr>
                  </pic:nvPicPr>
                  <pic:blipFill>
                    <a:blip r:embed="rId109" cstate="none"/>
                    <a:srcRect/>
                    <a:stretch>
                      <a:fillRect/>
                    </a:stretch>
                  </pic:blipFill>
                  <pic:spPr bwMode="auto">
                    <a:xfrm>
                      <a:off x="0" y="0"/>
                      <a:ext cx="5334000" cy="2761553"/>
                    </a:xfrm>
                    <a:prstGeom prst="rect">
                      <a:avLst/>
                    </a:prstGeom>
                  </pic:spPr>
                </pic:pic>
              </a:graphicData>
            </a:graphic>
          </wp:inline>
        </w:drawing>
      </w:r>
    </w:p>
    <w:p>
      <w:pPr>
        <w:spacing w:after="280"/>
        <w:jc w:val="center"/>
      </w:pPr>
      <w:r>
        <w:rPr>
          <w:i/>
          <w:iCs/>
          <w:color w:val="555555"/>
          <w:sz w:val="20"/>
          <w:szCs w:val="20"/>
        </w:rPr>
        <w:t xml:space="preserve">Figure 9. Docker volumes and home folder after the clean-up</w:t>
      </w:r>
    </w:p>
    <w:p>
      <w:pPr>
        <w:pStyle w:val="Heading1"/>
        <w:spacing w:after="140" w:before="320"/>
      </w:pPr>
      <w:r>
        <w:t xml:space="preserve">9. The procedure document</w:t>
      </w:r>
    </w:p>
    <w:p>
      <w:pPr>
        <w:spacing w:after="150"/>
      </w:pPr>
      <w:r>
        <w:t xml:space="preserve">I wrote docs/teardown-reset.md and linked it from the README. It lists what a reset removes and keeps, what to check before starting, how to run it, what to check after, and has a table to record each reset (Figure 10).</w:t>
      </w:r>
    </w:p>
    <w:p>
      <w:pPr>
        <w:keepNext/>
        <w:spacing w:after="80" w:before="120"/>
        <w:jc w:val="center"/>
      </w:pPr>
      <w:r>
        <w:drawing>
          <wp:inline distT="0" distB="0" distL="0" distR="0">
            <wp:extent cx="5334000" cy="2910561"/>
            <wp:effectExtent t="0" r="0" b="0" l="0"/>
            <wp:docPr id="10" name="Figure 10" descr="The reset procedur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descr=""/>
                    <pic:cNvPicPr>
                      <a:picLocks noChangeAspect="1" noChangeArrowheads="1"/>
                    </pic:cNvPicPr>
                  </pic:nvPicPr>
                  <pic:blipFill>
                    <a:blip r:embed="rId110" cstate="none"/>
                    <a:srcRect/>
                    <a:stretch>
                      <a:fillRect/>
                    </a:stretch>
                  </pic:blipFill>
                  <pic:spPr bwMode="auto">
                    <a:xfrm>
                      <a:off x="0" y="0"/>
                      <a:ext cx="5334000" cy="2910561"/>
                    </a:xfrm>
                    <a:prstGeom prst="rect">
                      <a:avLst/>
                    </a:prstGeom>
                  </pic:spPr>
                </pic:pic>
              </a:graphicData>
            </a:graphic>
          </wp:inline>
        </w:drawing>
      </w:r>
    </w:p>
    <w:p>
      <w:pPr>
        <w:spacing w:after="280"/>
        <w:jc w:val="center"/>
      </w:pPr>
      <w:r>
        <w:rPr>
          <w:i/>
          <w:iCs/>
          <w:color w:val="555555"/>
          <w:sz w:val="20"/>
          <w:szCs w:val="20"/>
        </w:rPr>
        <w:t xml:space="preserve">Figure 10. The reset procedure document</w:t>
      </w:r>
    </w:p>
    <w:p>
      <w:pPr>
        <w:pStyle w:val="Heading1"/>
        <w:spacing w:after="140" w:before="320"/>
      </w:pPr>
      <w:r>
        <w:t xml:space="preserve">10. Where this leaves Task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D9E2F3" w:val="clear"/>
            <w:tcMar>
              <w:top w:type="dxa" w:w="60"/>
              <w:left w:type="dxa" w:w="100"/>
              <w:bottom w:type="dxa" w:w="60"/>
              <w:right w:type="dxa" w:w="100"/>
            </w:tcMar>
          </w:tcPr>
          <w:p>
            <w:pPr>
              <w:keepNext/>
            </w:pPr>
            <w:r>
              <w:rPr>
                <w:b/>
                <w:bCs/>
                <w:sz w:val="22"/>
                <w:szCs w:val="22"/>
              </w:rPr>
              <w:t xml:space="preserve">Brief requirement</w:t>
            </w:r>
          </w:p>
        </w:tc>
        <w:tc>
          <w:tcPr>
            <w:tcW w:type="dxa" w:w="5500"/>
            <w:shd w:fill="D9E2F3" w:val="clear"/>
            <w:tcMar>
              <w:top w:type="dxa" w:w="60"/>
              <w:left w:type="dxa" w:w="100"/>
              <w:bottom w:type="dxa" w:w="60"/>
              <w:right w:type="dxa" w:w="100"/>
            </w:tcMar>
          </w:tcPr>
          <w:p>
            <w:pPr>
              <w:keepNext/>
            </w:pPr>
            <w:r>
              <w:rPr>
                <w:b/>
                <w:bCs/>
                <w:sz w:val="22"/>
                <w:szCs w:val="22"/>
              </w:rPr>
              <w:t xml:space="preserve">Covered by</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Formal process</w:t>
            </w:r>
          </w:p>
        </w:tc>
        <w:tc>
          <w:tcPr>
            <w:tcW w:type="dxa" w:w="5500"/>
            <w:tcMar>
              <w:top w:type="dxa" w:w="60"/>
              <w:left w:type="dxa" w:w="100"/>
              <w:bottom w:type="dxa" w:w="60"/>
              <w:right w:type="dxa" w:w="100"/>
            </w:tcMar>
          </w:tcPr>
          <w:p>
            <w:pPr>
              <w:keepNext/>
            </w:pPr>
            <w:r>
              <w:rPr>
                <w:b w:val="false"/>
                <w:bCs w:val="false"/>
                <w:sz w:val="22"/>
                <w:szCs w:val="22"/>
              </w:rPr>
              <w:t xml:space="preserve">docs/teardown-reset.md checklist with a reset record</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Safe teardown</w:t>
            </w:r>
          </w:p>
        </w:tc>
        <w:tc>
          <w:tcPr>
            <w:tcW w:type="dxa" w:w="5500"/>
            <w:tcMar>
              <w:top w:type="dxa" w:w="60"/>
              <w:left w:type="dxa" w:w="100"/>
              <w:bottom w:type="dxa" w:w="60"/>
              <w:right w:type="dxa" w:w="100"/>
            </w:tcMar>
          </w:tcPr>
          <w:p>
            <w:pPr>
              <w:keepNext/>
            </w:pPr>
            <w:r>
              <w:rPr>
                <w:b w:val="false"/>
                <w:bCs w:val="false"/>
                <w:sz w:val="22"/>
                <w:szCs w:val="22"/>
              </w:rPr>
              <w:t xml:space="preserve">Confirmation prompt, nothing-to-delete check, leftover check</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Reliable rebuild between cohorts</w:t>
            </w:r>
          </w:p>
        </w:tc>
        <w:tc>
          <w:tcPr>
            <w:tcW w:type="dxa" w:w="5500"/>
            <w:tcMar>
              <w:top w:type="dxa" w:w="60"/>
              <w:left w:type="dxa" w:w="100"/>
              <w:bottom w:type="dxa" w:w="60"/>
              <w:right w:type="dxa" w:w="100"/>
            </w:tcMar>
          </w:tcPr>
          <w:p>
            <w:pPr>
              <w:keepNext/>
            </w:pPr>
            <w:r>
              <w:rPr>
                <w:b w:val="false"/>
                <w:bCs w:val="false"/>
                <w:sz w:val="22"/>
                <w:szCs w:val="22"/>
              </w:rPr>
              <w:t xml:space="preserve">reset-lab.sh tested on a used lab: 11/11 checks in under 2 minutes</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Proof the lab is healthy</w:t>
            </w:r>
          </w:p>
        </w:tc>
        <w:tc>
          <w:tcPr>
            <w:tcW w:type="dxa" w:w="5500"/>
            <w:tcMar>
              <w:top w:type="dxa" w:w="60"/>
              <w:left w:type="dxa" w:w="100"/>
              <w:bottom w:type="dxa" w:w="60"/>
              <w:right w:type="dxa" w:w="100"/>
            </w:tcMar>
          </w:tcPr>
          <w:p>
            <w:pPr>
              <w:keepNext/>
            </w:pPr>
            <w:r>
              <w:rPr>
                <w:b w:val="false"/>
                <w:bCs w:val="false"/>
                <w:sz w:val="22"/>
                <w:szCs w:val="22"/>
              </w:rPr>
              <w:t xml:space="preserve">verify-lab.sh (11 checks)</w:t>
            </w:r>
          </w:p>
        </w:tc>
      </w:tr>
    </w:tbl>
    <w:p>
      <w:pPr>
        <w:spacing w:after="120"/>
      </w:pPr>
    </w:p>
    <w:p>
      <w:pPr>
        <w:spacing w:after="150"/>
      </w:pPr>
      <w:r>
        <w:t xml:space="preserve">The work is in two commits and tagged v1.1-reset-process (Figure 11).</w:t>
      </w:r>
    </w:p>
    <w:p>
      <w:pPr>
        <w:keepNext/>
        <w:spacing w:after="80" w:before="120"/>
        <w:jc w:val="center"/>
      </w:pPr>
      <w:r>
        <w:drawing>
          <wp:inline distT="0" distB="0" distL="0" distR="0">
            <wp:extent cx="5334000" cy="2899857"/>
            <wp:effectExtent t="0" r="0" b="0" l="0"/>
            <wp:docPr id="11" name="Figure 11" descr="Task 13 commits and tag pushed t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descr=""/>
                    <pic:cNvPicPr>
                      <a:picLocks noChangeAspect="1" noChangeArrowheads="1"/>
                    </pic:cNvPicPr>
                  </pic:nvPicPr>
                  <pic:blipFill>
                    <a:blip r:embed="rId111" cstate="none"/>
                    <a:srcRect/>
                    <a:stretch>
                      <a:fillRect/>
                    </a:stretch>
                  </pic:blipFill>
                  <pic:spPr bwMode="auto">
                    <a:xfrm>
                      <a:off x="0" y="0"/>
                      <a:ext cx="5334000" cy="2899857"/>
                    </a:xfrm>
                    <a:prstGeom prst="rect">
                      <a:avLst/>
                    </a:prstGeom>
                  </pic:spPr>
                </pic:pic>
              </a:graphicData>
            </a:graphic>
          </wp:inline>
        </w:drawing>
      </w:r>
    </w:p>
    <w:p>
      <w:pPr>
        <w:spacing w:after="280"/>
        <w:jc w:val="center"/>
      </w:pPr>
      <w:r>
        <w:rPr>
          <w:i/>
          <w:iCs/>
          <w:color w:val="555555"/>
          <w:sz w:val="20"/>
          <w:szCs w:val="20"/>
        </w:rPr>
        <w:t xml:space="preserve">Figure 11. Task 13 commits and tag pushed to GitHub</w:t>
      </w:r>
    </w:p>
    <w:p>
      <w:pPr>
        <w:spacing w:after="150"/>
      </w:pPr>
      <w:r>
        <w:t xml:space="preserve">The reset time includes the few seconds spent typing RESET. The procedure covers resetting between cohorts; a short section on fully retiring the lab from a machine could be added later. Next is Task 14, handing over the standing lab environment.</w:t>
      </w:r>
    </w:p>
    <w:p>
      <w:pPr>
        <w:spacing w:after="150"/>
      </w:pPr>
      <w:r>
        <w:t xml:space="preserve">Repository: https://github.com/kat0870/dsys601-k8s-observability-lab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2" Type="http://schemas.openxmlformats.org/officeDocument/2006/relationships/fontTable" Target="fontTable.xml"/><Relationship Id="rId101" Type="http://schemas.openxmlformats.org/officeDocument/2006/relationships/image" Target="media/fig01.png"/><Relationship Id="rId102" Type="http://schemas.openxmlformats.org/officeDocument/2006/relationships/image" Target="media/fig02.png"/><Relationship Id="rId103" Type="http://schemas.openxmlformats.org/officeDocument/2006/relationships/image" Target="media/fig03.png"/><Relationship Id="rId104" Type="http://schemas.openxmlformats.org/officeDocument/2006/relationships/image" Target="media/fig04.png"/><Relationship Id="rId105" Type="http://schemas.openxmlformats.org/officeDocument/2006/relationships/image" Target="media/fig05.png"/><Relationship Id="rId106" Type="http://schemas.openxmlformats.org/officeDocument/2006/relationships/image" Target="media/fig06.png"/><Relationship Id="rId107" Type="http://schemas.openxmlformats.org/officeDocument/2006/relationships/image" Target="media/fig07.png"/><Relationship Id="rId108" Type="http://schemas.openxmlformats.org/officeDocument/2006/relationships/image" Target="media/fig08.png"/><Relationship Id="rId109" Type="http://schemas.openxmlformats.org/officeDocument/2006/relationships/image" Target="media/fig09.png"/><Relationship Id="rId110" Type="http://schemas.openxmlformats.org/officeDocument/2006/relationships/image" Target="media/fig10.png"/><Relationship Id="rId111" Type="http://schemas.openxmlformats.org/officeDocument/2006/relationships/image" Target="media/fig1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13 – Evidence Report</dc:title>
  <dc:creator>Kabir Singh Thukrai</dc:creator>
  <cp:lastModifiedBy>Un-named</cp:lastModifiedBy>
  <cp:revision>1</cp:revision>
  <dcterms:created xsi:type="dcterms:W3CDTF">2026-09-28T05:21:14.883Z</dcterms:created>
  <dcterms:modified xsi:type="dcterms:W3CDTF">2026-09-28T05:21:14.893Z</dcterms:modified>
</cp:coreProperties>
</file>

<file path=docProps/custom.xml><?xml version="1.0" encoding="utf-8"?>
<Properties xmlns="http://schemas.openxmlformats.org/officeDocument/2006/custom-properties" xmlns:vt="http://schemas.openxmlformats.org/officeDocument/2006/docPropsVTypes"/>
</file>