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E293B"/>
          <w:sz w:val="36"/>
          <w:szCs w:val="36"/>
        </w:rPr>
        <w:t xml:space="preserve">NOESIS.IO HEALTH</w:t>
      </w:r>
    </w:p>
    <w:p>
      <w:pPr>
        <w:spacing w:after="120"/>
        <w:jc w:val="center"/>
      </w:pPr>
      <w:r>
        <w:rPr>
          <w:b/>
          <w:bCs/>
          <w:color w:val="06B6D4"/>
          <w:sz w:val="28"/>
          <w:szCs w:val="28"/>
        </w:rPr>
        <w:t xml:space="preserve">Technical Architecture &amp; System Design (Expanded)</w:t>
      </w:r>
    </w:p>
    <w:p>
      <w:pPr>
        <w:spacing w:after="60"/>
        <w:jc w:val="center"/>
      </w:pPr>
      <w:r>
        <w:rPr>
          <w:sz w:val="22"/>
          <w:szCs w:val="22"/>
        </w:rPr>
        <w:t xml:space="preserve">Powered by Athena Core Technologies</w:t>
      </w:r>
    </w:p>
    <w:p>
      <w:pPr>
        <w:spacing w:after="240"/>
        <w:jc w:val="center"/>
      </w:pPr>
      <w:r>
        <w:rPr>
          <w:sz w:val="22"/>
          <w:szCs w:val="22"/>
        </w:rPr>
        <w:t xml:space="preserve">Version 2.0 &amp;#x2013; April 2026</w:t>
      </w:r>
    </w:p>
    <w:p>
      <w:pPr>
        <w:pStyle w:val="Heading1"/>
      </w:pPr>
      <w:r>
        <w:t xml:space="preserve">Detailed API Specification</w:t>
      </w:r>
    </w:p>
    <w:p>
      <w:r>
        <w:t xml:space="preserve">Comprehensive API endpoints with authentication, request/response specifications for each module:</w:t>
      </w:r>
    </w:p>
    <w:p>
      <w:pPr>
        <w:spacing w:after="120"/>
      </w:pPr>
      <w:r>
        <w:t xml:space="preserve"/>
      </w:r>
    </w:p>
    <w:p>
      <w:pPr>
        <w:pStyle w:val="Heading2"/>
      </w:pPr>
      <w:r>
        <w:t xml:space="preserve">Claims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2230"/>
        <w:gridCol w:w="2230"/>
      </w:tblGrid>
      <w:tr>
        <w:tc>
          <w:tcPr>
            <w:tcW w:type="dxa" w:w="9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Description</w:t>
            </w:r>
          </w:p>
        </w:tc>
        <w:tc>
          <w:tcPr>
            <w:tcW w:type="dxa" w:w="22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Request</w:t>
            </w:r>
          </w:p>
        </w:tc>
        <w:tc>
          <w:tcPr>
            <w:tcW w:type="dxa" w:w="22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Response</w:t>
            </w:r>
          </w:p>
        </w:tc>
      </w:tr>
      <w:tr>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POST</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/api/v1/claims</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Submit new claim</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claim_data, provider_id, payer_id, patient_id, amount, service_dates</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claim_id, submission_timestamp, validation_status</w:t>
            </w:r>
          </w:p>
        </w:tc>
      </w:tr>
      <w:tr>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GET</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/api/v1/claims/{id}</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Retrieve claim details</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claim_id</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claim_data, status, history, payments_received</w:t>
            </w:r>
          </w:p>
        </w:tc>
      </w:tr>
      <w:tr>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PUT</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/api/v1/claims/{id}/status</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Update claim status</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claim_id, new_status, notes</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updated_claim, status_timestamp</w:t>
            </w:r>
          </w:p>
        </w:tc>
      </w:tr>
      <w:tr>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GET</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/api/v1/claims?status=...&amp;payer=...</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Query claims with filters</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status (pending, adjudicated, paid), payer_id, date_range</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claims_array, total_count, pagination</w:t>
            </w:r>
          </w:p>
        </w:tc>
      </w:tr>
      <w:tr>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POST</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/api/v1/claims/{id}/appeal</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Submit claim appeal</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claim_id, appeal_reason, supporting_docs</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appeal_id, submission_date, appeal_status</w:t>
            </w:r>
          </w:p>
        </w:tc>
      </w:tr>
      <w:tr>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GET</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/api/v1/claims/{id}/timeline</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Get claim processing timeline</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claim_id</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timeline_events, timestamps, status_changes</w:t>
            </w:r>
          </w:p>
        </w:tc>
      </w:tr>
    </w:tbl>
    <w:p>
      <w:pPr>
        <w:spacing w:after="180"/>
      </w:pPr>
      <w:r>
        <w:t xml:space="preserve"/>
      </w:r>
    </w:p>
    <w:p>
      <w:pPr>
        <w:pStyle w:val="Heading2"/>
      </w:pPr>
      <w:r>
        <w:t xml:space="preserve">Prior Authorization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2230"/>
        <w:gridCol w:w="2230"/>
      </w:tblGrid>
      <w:tr>
        <w:tc>
          <w:tcPr>
            <w:tcW w:type="dxa" w:w="9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Description</w:t>
            </w:r>
          </w:p>
        </w:tc>
        <w:tc>
          <w:tcPr>
            <w:tcW w:type="dxa" w:w="22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Request</w:t>
            </w:r>
          </w:p>
        </w:tc>
        <w:tc>
          <w:tcPr>
            <w:tcW w:type="dxa" w:w="22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Response</w:t>
            </w:r>
          </w:p>
        </w:tc>
      </w:tr>
      <w:tr>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POST</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/api/v1/authorizations</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Request prior authorization</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patient_id, procedure_code, medical_justification, payer_id</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auth_id, request_timestamp, estimated_turnaround</w:t>
            </w:r>
          </w:p>
        </w:tc>
      </w:tr>
      <w:tr>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GET</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/api/v1/authorizations/{id}</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Get authorization status</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auth_id</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auth_data, status, decision, effective_dates</w:t>
            </w:r>
          </w:p>
        </w:tc>
      </w:tr>
      <w:tr>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PUT</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/api/v1/authorizations/{id}/review</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Update authorization review</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auth_id, review_notes, approval_count, decision</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updated_auth, decision_timestamp</w:t>
            </w:r>
          </w:p>
        </w:tc>
      </w:tr>
      <w:tr>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POST</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/api/v1/authorizations/{id}/documents</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Upload supporting documents</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auth_id, documents[], document_type</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upload_status, document_ids</w:t>
            </w:r>
          </w:p>
        </w:tc>
      </w:tr>
    </w:tbl>
    <w:p>
      <w:pPr>
        <w:spacing w:after="180"/>
      </w:pPr>
      <w:r>
        <w:t xml:space="preserve"/>
      </w:r>
    </w:p>
    <w:p>
      <w:pPr>
        <w:pStyle w:val="Heading2"/>
      </w:pPr>
      <w:r>
        <w:t xml:space="preserve">Messaging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2230"/>
        <w:gridCol w:w="2230"/>
      </w:tblGrid>
      <w:tr>
        <w:tc>
          <w:tcPr>
            <w:tcW w:type="dxa" w:w="9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Description</w:t>
            </w:r>
          </w:p>
        </w:tc>
        <w:tc>
          <w:tcPr>
            <w:tcW w:type="dxa" w:w="22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Request</w:t>
            </w:r>
          </w:p>
        </w:tc>
        <w:tc>
          <w:tcPr>
            <w:tcW w:type="dxa" w:w="22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Response</w:t>
            </w:r>
          </w:p>
        </w:tc>
      </w:tr>
      <w:tr>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POST</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/api/v1/conversations</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Create secure conversation</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participants[], topic_type, initial_message</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conversation_id, created_timestamp</w:t>
            </w:r>
          </w:p>
        </w:tc>
      </w:tr>
      <w:tr>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GET</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/api/v1/conversations/{id}/messages</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Get conversation thread</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conversation_id, limit, offset</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messages[], pagination, has_more</w:t>
            </w:r>
          </w:p>
        </w:tc>
      </w:tr>
      <w:tr>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POST</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/api/v1/conversations/{id}/messages</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Send message in conversation</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conversation_id, message_body, attachments[]</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message_id, sent_timestamp, read_receipts</w:t>
            </w:r>
          </w:p>
        </w:tc>
      </w:tr>
      <w:tr>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WS</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/ws/conversations/{id}</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Real-time message stream (WebSocket)</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conversation_id (in path), authentication token</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Live message events, presence, typing indicators</w:t>
            </w:r>
          </w:p>
        </w:tc>
      </w:tr>
    </w:tbl>
    <w:p>
      <w:pPr>
        <w:spacing w:after="180"/>
      </w:pPr>
      <w:r>
        <w:t xml:space="preserve"/>
      </w:r>
    </w:p>
    <w:p>
      <w:pPr>
        <w:pStyle w:val="Heading2"/>
      </w:pPr>
      <w:r>
        <w:t xml:space="preserve">Eligibility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2230"/>
        <w:gridCol w:w="2230"/>
      </w:tblGrid>
      <w:tr>
        <w:tc>
          <w:tcPr>
            <w:tcW w:type="dxa" w:w="9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Description</w:t>
            </w:r>
          </w:p>
        </w:tc>
        <w:tc>
          <w:tcPr>
            <w:tcW w:type="dxa" w:w="22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Request</w:t>
            </w:r>
          </w:p>
        </w:tc>
        <w:tc>
          <w:tcPr>
            <w:tcW w:type="dxa" w:w="22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Response</w:t>
            </w:r>
          </w:p>
        </w:tc>
      </w:tr>
      <w:tr>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POST</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/api/v1/eligibility/verify</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Verify patient eligibility</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patient_id, payer_id, member_id, service_type</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is_eligible, coverage_details, deductible, copay, coinsurance</w:t>
            </w:r>
          </w:p>
        </w:tc>
      </w:tr>
      <w:tr>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GET</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/api/v1/eligibility/history</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Get eligibility verification history</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patient_id, date_range</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historical_requests, cached_results, verification_timestamps</w:t>
            </w:r>
          </w:p>
        </w:tc>
      </w:tr>
    </w:tbl>
    <w:p>
      <w:pPr>
        <w:spacing w:after="180"/>
      </w:pPr>
      <w:r>
        <w:t xml:space="preserve"/>
      </w:r>
    </w:p>
    <w:p>
      <w:pPr>
        <w:pStyle w:val="Heading2"/>
      </w:pPr>
      <w:r>
        <w:t xml:space="preserve">Contracts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2230"/>
        <w:gridCol w:w="2230"/>
      </w:tblGrid>
      <w:tr>
        <w:tc>
          <w:tcPr>
            <w:tcW w:type="dxa" w:w="9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Description</w:t>
            </w:r>
          </w:p>
        </w:tc>
        <w:tc>
          <w:tcPr>
            <w:tcW w:type="dxa" w:w="22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Request</w:t>
            </w:r>
          </w:p>
        </w:tc>
        <w:tc>
          <w:tcPr>
            <w:tcW w:type="dxa" w:w="22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Response</w:t>
            </w:r>
          </w:p>
        </w:tc>
      </w:tr>
      <w:tr>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GET</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/api/v1/contracts</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List all contracts</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provider_id, payer_id, status, date_range</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contracts[], total_count, pagination</w:t>
            </w:r>
          </w:p>
        </w:tc>
      </w:tr>
      <w:tr>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GET</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/api/v1/contracts/{id}/fee-schedule</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Get contract fee schedule</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contract_id</w:t>
            </w:r>
          </w:p>
        </w:tc>
        <w:tc>
          <w:tcPr>
            <w:tcW w:type="dxa" w:w="183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fee_schedule[], service_codes, rates, effective_dates</w:t>
            </w:r>
          </w:p>
        </w:tc>
      </w:tr>
    </w:tbl>
    <w:p>
      <w:pPr>
        <w:spacing w:after="240"/>
      </w:pPr>
      <w:r>
        <w:t xml:space="preserve"/>
      </w:r>
    </w:p>
    <w:p>
      <w:pPr>
        <w:pStyle w:val="Heading1"/>
      </w:pPr>
      <w:r>
        <w:t xml:space="preserve">Data Flow Diagrams</w:t>
      </w:r>
    </w:p>
    <w:p>
      <w:pPr>
        <w:pStyle w:val="Heading2"/>
      </w:pPr>
      <w:r>
        <w:t xml:space="preserve">Claims Submission Flow</w:t>
      </w:r>
    </w:p>
    <w:p>
      <w:r>
        <w:t xml:space="preserve">Provider Portal &amp;#x2192; API Gateway &amp;#x2192; Claims Service &amp;#x2192; EDI Gateway &amp;#x2192; Clearinghouse &amp;#x2192; Payer System &amp;#x2192; Response &amp;#x2192; ERA Processing &amp;#x2192; Payment Reconciliation</w:t>
      </w:r>
    </w:p>
    <w:p>
      <w:pPr>
        <w:spacing w:after="120"/>
      </w:pPr>
      <w:r>
        <w:t xml:space="preserve"/>
      </w:r>
    </w:p>
    <w:p>
      <w:r>
        <w:rPr>
          <w:b/>
          <w:bCs/>
        </w:rPr>
        <w:t xml:space="preserve">Process Details:</w:t>
      </w:r>
    </w:p>
    <w:p>
      <w:pPr>
        <w:pStyle w:val="ListParagraph"/>
        <w:numPr>
          <w:ilvl w:val="0"/>
          <w:numId w:val="2"/>
        </w:numPr>
      </w:pPr>
      <w:r>
        <w:t xml:space="preserve">Provider submits claim via web portal or integrated EHR system with complete demographics and medical codes</w:t>
      </w:r>
    </w:p>
    <w:p>
      <w:pPr>
        <w:pStyle w:val="ListParagraph"/>
        <w:numPr>
          <w:ilvl w:val="0"/>
          <w:numId w:val="2"/>
        </w:numPr>
      </w:pPr>
      <w:r>
        <w:t xml:space="preserve">API Gateway authenticates request, validates authorization, applies rate limiting (100 req/sec per provider)</w:t>
      </w:r>
    </w:p>
    <w:p>
      <w:pPr>
        <w:pStyle w:val="ListParagraph"/>
        <w:numPr>
          <w:ilvl w:val="0"/>
          <w:numId w:val="2"/>
        </w:numPr>
      </w:pPr>
      <w:r>
        <w:t xml:space="preserve">Claims Service performs pre-submission validation: EDI compliance, coverage verification, claim amount reasonableness</w:t>
      </w:r>
    </w:p>
    <w:p>
      <w:pPr>
        <w:pStyle w:val="ListParagraph"/>
        <w:numPr>
          <w:ilvl w:val="0"/>
          <w:numId w:val="2"/>
        </w:numPr>
      </w:pPr>
      <w:r>
        <w:t xml:space="preserve">EDI Gateway converts internal claim format to X12 837 Professional format per HIPAA standards</w:t>
      </w:r>
    </w:p>
    <w:p>
      <w:pPr>
        <w:pStyle w:val="ListParagraph"/>
        <w:numPr>
          <w:ilvl w:val="0"/>
          <w:numId w:val="2"/>
        </w:numPr>
      </w:pPr>
      <w:r>
        <w:t xml:space="preserve">Clearinghouse routing selects appropriate trading partner (Emdeon, Change Healthcare, etc.) based on payer</w:t>
      </w:r>
    </w:p>
    <w:p>
      <w:pPr>
        <w:pStyle w:val="ListParagraph"/>
        <w:numPr>
          <w:ilvl w:val="0"/>
          <w:numId w:val="2"/>
        </w:numPr>
      </w:pPr>
      <w:r>
        <w:t xml:space="preserve">Payer system receives and processes claim through their adjudication engine (typically 3-7 business days)</w:t>
      </w:r>
    </w:p>
    <w:p>
      <w:pPr>
        <w:pStyle w:val="ListParagraph"/>
        <w:numPr>
          <w:ilvl w:val="0"/>
          <w:numId w:val="2"/>
        </w:numPr>
      </w:pPr>
      <w:r>
        <w:t xml:space="preserve">Payer transmits response via X12 835 remittance advice to EDI Gateway</w:t>
      </w:r>
    </w:p>
    <w:p>
      <w:pPr>
        <w:pStyle w:val="ListParagraph"/>
        <w:numPr>
          <w:ilvl w:val="0"/>
          <w:numId w:val="2"/>
        </w:numPr>
      </w:pPr>
      <w:r>
        <w:t xml:space="preserve">ERA Processing module parses remittance details: payments, adjustments, denials, appeal opportunities</w:t>
      </w:r>
    </w:p>
    <w:p>
      <w:pPr>
        <w:pStyle w:val="ListParagraph"/>
        <w:numPr>
          <w:ilvl w:val="0"/>
          <w:numId w:val="2"/>
        </w:numPr>
      </w:pPr>
      <w:r>
        <w:t xml:space="preserve">Payment Reconciliation matches received payments to submitted claims with audit trail for accounting integration</w:t>
      </w:r>
    </w:p>
    <w:p>
      <w:pPr>
        <w:spacing w:after="180"/>
      </w:pPr>
      <w:r>
        <w:t xml:space="preserve"/>
      </w:r>
    </w:p>
    <w:p>
      <w:pPr>
        <w:pStyle w:val="Heading2"/>
      </w:pPr>
      <w:r>
        <w:t xml:space="preserve">Prior Authorization Workflow</w:t>
      </w:r>
    </w:p>
    <w:p>
      <w:r>
        <w:t xml:space="preserve">Provider Submission &amp;#x2192; Auto-check Rules Engine &amp;#x2192; Route to Payer &amp;#x2192; Payer Medical Review &amp;#x2192; Decision &amp;#x2192; Provider Notification &amp;#x2192; EHR Update</w:t>
      </w:r>
    </w:p>
    <w:p>
      <w:pPr>
        <w:spacing w:after="120"/>
      </w:pPr>
      <w:r>
        <w:t xml:space="preserve"/>
      </w:r>
    </w:p>
    <w:p>
      <w:pPr>
        <w:pStyle w:val="ListParagraph"/>
        <w:numPr>
          <w:ilvl w:val="0"/>
          <w:numId w:val="2"/>
        </w:numPr>
      </w:pPr>
      <w:r>
        <w:t xml:space="preserve">Provider submits authorization request with procedure codes, clinical justification, and supporting documentation</w:t>
      </w:r>
    </w:p>
    <w:p>
      <w:pPr>
        <w:pStyle w:val="ListParagraph"/>
        <w:numPr>
          <w:ilvl w:val="0"/>
          <w:numId w:val="2"/>
        </w:numPr>
      </w:pPr>
      <w:r>
        <w:t xml:space="preserve">Auto-check Rules Engine evaluates common criteria (frequency limitations, age requirements, medical necessity)</w:t>
      </w:r>
    </w:p>
    <w:p>
      <w:pPr>
        <w:pStyle w:val="ListParagraph"/>
        <w:numPr>
          <w:ilvl w:val="0"/>
          <w:numId w:val="2"/>
        </w:numPr>
      </w:pPr>
      <w:r>
        <w:t xml:space="preserve">System routes to appropriate payer via X12 278 transaction if pre-check fails</w:t>
      </w:r>
    </w:p>
    <w:p>
      <w:pPr>
        <w:pStyle w:val="ListParagraph"/>
        <w:numPr>
          <w:ilvl w:val="0"/>
          <w:numId w:val="2"/>
        </w:numPr>
      </w:pPr>
      <w:r>
        <w:t xml:space="preserve">Payer medical director reviews clinical documentation with estimated 24-48 hour turnaround</w:t>
      </w:r>
    </w:p>
    <w:p>
      <w:pPr>
        <w:pStyle w:val="ListParagraph"/>
        <w:numPr>
          <w:ilvl w:val="0"/>
          <w:numId w:val="2"/>
        </w:numPr>
      </w:pPr>
      <w:r>
        <w:t xml:space="preserve">Decision communicated via X12 278 response (approved, approved with conditions, denied)</w:t>
      </w:r>
    </w:p>
    <w:p>
      <w:pPr>
        <w:pStyle w:val="ListParagraph"/>
        <w:numPr>
          <w:ilvl w:val="0"/>
          <w:numId w:val="2"/>
        </w:numPr>
      </w:pPr>
      <w:r>
        <w:t xml:space="preserve">Provider notification sent via secure messaging, email, and SMS per preference settings</w:t>
      </w:r>
    </w:p>
    <w:p>
      <w:pPr>
        <w:pStyle w:val="ListParagraph"/>
        <w:numPr>
          <w:ilvl w:val="0"/>
          <w:numId w:val="2"/>
        </w:numPr>
      </w:pPr>
      <w:r>
        <w:t xml:space="preserve">EHR integration updates patient record with authorization status for billing guidance</w:t>
      </w:r>
    </w:p>
    <w:p>
      <w:pPr>
        <w:spacing w:after="180"/>
      </w:pPr>
      <w:r>
        <w:t xml:space="preserve"/>
      </w:r>
    </w:p>
    <w:p>
      <w:pPr>
        <w:pStyle w:val="Heading2"/>
      </w:pPr>
      <w:r>
        <w:t xml:space="preserve">Real-time Eligibility Verification</w:t>
      </w:r>
    </w:p>
    <w:p>
      <w:r>
        <w:t xml:space="preserve">Provider Request &amp;#x2192; 270 Transaction &amp;#x2192; Payer System &amp;#x2192; 271 Response &amp;#x2192; Parse &amp; Cache &amp;#x2192; Display Results</w:t>
      </w:r>
    </w:p>
    <w:p>
      <w:pPr>
        <w:spacing w:after="120"/>
      </w:pPr>
      <w:r>
        <w:t xml:space="preserve"/>
      </w:r>
    </w:p>
    <w:p>
      <w:pPr>
        <w:pStyle w:val="ListParagraph"/>
        <w:numPr>
          <w:ilvl w:val="0"/>
          <w:numId w:val="2"/>
        </w:numPr>
      </w:pPr>
      <w:r>
        <w:t xml:space="preserve">Provider initiates eligibility check from patient registration screen with member ID and payer</w:t>
      </w:r>
    </w:p>
    <w:p>
      <w:pPr>
        <w:pStyle w:val="ListParagraph"/>
        <w:numPr>
          <w:ilvl w:val="0"/>
          <w:numId w:val="2"/>
        </w:numPr>
      </w:pPr>
      <w:r>
        <w:t xml:space="preserve">System sends X12 270 Health Care Eligibility, Coverage, and Benefit Inquiry transaction</w:t>
      </w:r>
    </w:p>
    <w:p>
      <w:pPr>
        <w:pStyle w:val="ListParagraph"/>
        <w:numPr>
          <w:ilvl w:val="0"/>
          <w:numId w:val="2"/>
        </w:numPr>
      </w:pPr>
      <w:r>
        <w:t xml:space="preserve">Payer receives request and queries their eligibility database in real-time (&lt; 2 second response target)</w:t>
      </w:r>
    </w:p>
    <w:p>
      <w:pPr>
        <w:pStyle w:val="ListParagraph"/>
        <w:numPr>
          <w:ilvl w:val="0"/>
          <w:numId w:val="2"/>
        </w:numPr>
      </w:pPr>
      <w:r>
        <w:t xml:space="preserve">Payer returns X12 271 response with coverage dates, benefits, deductible status, copay amounts</w:t>
      </w:r>
    </w:p>
    <w:p>
      <w:pPr>
        <w:pStyle w:val="ListParagraph"/>
        <w:numPr>
          <w:ilvl w:val="0"/>
          <w:numId w:val="2"/>
        </w:numPr>
      </w:pPr>
      <w:r>
        <w:t xml:space="preserve">System parses 271 response and extracts coverage details for display to provider</w:t>
      </w:r>
    </w:p>
    <w:p>
      <w:pPr>
        <w:pStyle w:val="ListParagraph"/>
        <w:numPr>
          <w:ilvl w:val="0"/>
          <w:numId w:val="2"/>
        </w:numPr>
      </w:pPr>
      <w:r>
        <w:t xml:space="preserve">Results cached in Redis with 30/60/90-day TTL based on payer configuration</w:t>
      </w:r>
    </w:p>
    <w:p>
      <w:pPr>
        <w:pStyle w:val="ListParagraph"/>
        <w:numPr>
          <w:ilvl w:val="0"/>
          <w:numId w:val="2"/>
        </w:numPr>
      </w:pPr>
      <w:r>
        <w:t xml:space="preserve">Display shows coverage summary and links to detailed benefit information for clinical guidance</w:t>
      </w:r>
    </w:p>
    <w:p>
      <w:pPr>
        <w:spacing w:after="240"/>
      </w:pPr>
      <w:r>
        <w:t xml:space="preserve"/>
      </w:r>
    </w:p>
    <w:p>
      <w:pPr>
        <w:pStyle w:val="Heading1"/>
      </w:pPr>
      <w:r>
        <w:t xml:space="preserve">Deployment Architecture</w:t>
      </w:r>
    </w:p>
    <w:p>
      <w:pPr>
        <w:pStyle w:val="Heading2"/>
      </w:pPr>
      <w:r>
        <w:t xml:space="preserve">AWS Multi-Region Setup</w:t>
      </w:r>
    </w:p>
    <w:p>
      <w:r>
        <w:t xml:space="preserve">Noesis.io Health is deployed across three AWS regions (us-east-1 primary, us-west-2 and eu-west-1 secondary) with independent microservices stacks. Each region maintains separate EKS clusters, RDS instances, and Elasticsearch domains with automatic failover. CloudFront distributes traffic based on geographic proximity and health checks, ensuring users connect to nearest healthy region with sub-100ms latency. Data replication between regions occurs asynchronously for operational data and synchronously for critical customer data (claims in processing), with cross-region backup snapshots taken hourly.</w:t>
      </w:r>
    </w:p>
    <w:p>
      <w:pPr>
        <w:spacing w:after="180"/>
      </w:pPr>
      <w:r>
        <w:t xml:space="preserve"/>
      </w:r>
    </w:p>
    <w:p>
      <w:pPr>
        <w:pStyle w:val="Heading2"/>
      </w:pPr>
      <w:r>
        <w:t xml:space="preserve">Container Orchestration (EKS) with Service Mesh (Istio)</w:t>
      </w:r>
    </w:p>
    <w:p>
      <w:pPr>
        <w:pStyle w:val="ListParagraph"/>
        <w:numPr>
          <w:ilvl w:val="0"/>
          <w:numId w:val="3"/>
        </w:numPr>
      </w:pPr>
      <w:r>
        <w:t xml:space="preserve">EKS Cluster Configuration: 3 availability zones, 50-200 worker nodes (auto-scaling based on CPU/memory metrics)</w:t>
      </w:r>
    </w:p>
    <w:p>
      <w:pPr>
        <w:pStyle w:val="ListParagraph"/>
        <w:numPr>
          <w:ilvl w:val="0"/>
          <w:numId w:val="3"/>
        </w:numPr>
      </w:pPr>
      <w:r>
        <w:t xml:space="preserve">Istio Service Mesh: Manages communication between microservices with traffic management, security policies, and observability</w:t>
      </w:r>
    </w:p>
    <w:p>
      <w:pPr>
        <w:pStyle w:val="ListParagraph"/>
        <w:numPr>
          <w:ilvl w:val="0"/>
          <w:numId w:val="3"/>
        </w:numPr>
      </w:pPr>
      <w:r>
        <w:t xml:space="preserve">Network Policies: Strict ingress/egress rules limiting service-to-service communication to necessary paths only</w:t>
      </w:r>
    </w:p>
    <w:p>
      <w:pPr>
        <w:pStyle w:val="ListParagraph"/>
        <w:numPr>
          <w:ilvl w:val="0"/>
          <w:numId w:val="3"/>
        </w:numPr>
      </w:pPr>
      <w:r>
        <w:t xml:space="preserve">Pod Security: All pods run with read-only root filesystems and resource limits (CPU 500m-2000m, Memory 512Mi-4Gi)</w:t>
      </w:r>
    </w:p>
    <w:p>
      <w:pPr>
        <w:pStyle w:val="ListParagraph"/>
        <w:numPr>
          <w:ilvl w:val="0"/>
          <w:numId w:val="3"/>
        </w:numPr>
      </w:pPr>
      <w:r>
        <w:t xml:space="preserve">Persistent Volumes: StatefulSets for databases and caches with EBS volumes encrypted with AWS KMS</w:t>
      </w:r>
    </w:p>
    <w:p>
      <w:pPr>
        <w:spacing w:after="180"/>
      </w:pPr>
      <w:r>
        <w:t xml:space="preserve"/>
      </w:r>
    </w:p>
    <w:p>
      <w:pPr>
        <w:pStyle w:val="Heading2"/>
      </w:pPr>
      <w:r>
        <w:t xml:space="preserve">Database Replication Strategy</w:t>
      </w:r>
    </w:p>
    <w:p>
      <w:pPr>
        <w:pStyle w:val="Heading3"/>
      </w:pPr>
      <w:r>
        <w:t xml:space="preserve">PostgreSQL Primary-Replica Architecture:</w:t>
      </w:r>
    </w:p>
    <w:p>
      <w:pPr>
        <w:pStyle w:val="ListParagraph"/>
        <w:numPr>
          <w:ilvl w:val="0"/>
          <w:numId w:val="3"/>
        </w:numPr>
      </w:pPr>
      <w:r>
        <w:t xml:space="preserve">Primary Database: Handles all writes in us-east-1, RDS Multi-AZ with automatic failover to standby in 30-60 seconds</w:t>
      </w:r>
    </w:p>
    <w:p>
      <w:pPr>
        <w:pStyle w:val="ListParagraph"/>
        <w:numPr>
          <w:ilvl w:val="0"/>
          <w:numId w:val="3"/>
        </w:numPr>
      </w:pPr>
      <w:r>
        <w:t xml:space="preserve">Read Replicas: 2 synchronous replicas in us-east-1 (different AZs) and 1 asynchronous replica in each secondary region</w:t>
      </w:r>
    </w:p>
    <w:p>
      <w:pPr>
        <w:pStyle w:val="ListParagraph"/>
        <w:numPr>
          <w:ilvl w:val="0"/>
          <w:numId w:val="3"/>
        </w:numPr>
      </w:pPr>
      <w:r>
        <w:t xml:space="preserve">Replication Lag: Typically &lt; 100ms for synchronous replicas, &lt; 5 seconds for cross-region async replicas</w:t>
      </w:r>
    </w:p>
    <w:p>
      <w:pPr>
        <w:pStyle w:val="ListParagraph"/>
        <w:numPr>
          <w:ilvl w:val="0"/>
          <w:numId w:val="3"/>
        </w:numPr>
      </w:pPr>
      <w:r>
        <w:t xml:space="preserve">Connection Pooling: PgBouncer manages 1000+ concurrent connections per replica, routing reads intelligently</w:t>
      </w:r>
    </w:p>
    <w:p>
      <w:pPr>
        <w:pStyle w:val="ListParagraph"/>
        <w:numPr>
          <w:ilvl w:val="0"/>
          <w:numId w:val="3"/>
        </w:numPr>
      </w:pPr>
      <w:r>
        <w:t xml:space="preserve">Backup Strategy: Automated daily snapshots retained for 30 days, hourly WAL archiving to S3 for point-in-time recovery up to 35 days</w:t>
      </w:r>
    </w:p>
    <w:p>
      <w:pPr>
        <w:spacing w:after="180"/>
      </w:pPr>
      <w:r>
        <w:t xml:space="preserve"/>
      </w:r>
    </w:p>
    <w:p>
      <w:pPr>
        <w:pStyle w:val="Heading2"/>
      </w:pPr>
      <w:r>
        <w:t xml:space="preserve">CDN Configuration</w:t>
      </w:r>
    </w:p>
    <w:p>
      <w:pPr>
        <w:pStyle w:val="ListParagraph"/>
        <w:numPr>
          <w:ilvl w:val="0"/>
          <w:numId w:val="3"/>
        </w:numPr>
      </w:pPr>
      <w:r>
        <w:t xml:space="preserve">CloudFront Distribution: Caches static assets (React bundles, stylesheets, images) from S3 origin</w:t>
      </w:r>
    </w:p>
    <w:p>
      <w:pPr>
        <w:pStyle w:val="ListParagraph"/>
        <w:numPr>
          <w:ilvl w:val="0"/>
          <w:numId w:val="3"/>
        </w:numPr>
      </w:pPr>
      <w:r>
        <w:t xml:space="preserve">Cache Behavior: Aggressive caching (1-year TTL) for versioned assets, 5-minute TTL for index.html to enable updates</w:t>
      </w:r>
    </w:p>
    <w:p>
      <w:pPr>
        <w:pStyle w:val="ListParagraph"/>
        <w:numPr>
          <w:ilvl w:val="0"/>
          <w:numId w:val="3"/>
        </w:numPr>
      </w:pPr>
      <w:r>
        <w:t xml:space="preserve">Geographic Restrictions: Content served globally except restricted jurisdictions per compliance requirements</w:t>
      </w:r>
    </w:p>
    <w:p>
      <w:pPr>
        <w:pStyle w:val="ListParagraph"/>
        <w:numPr>
          <w:ilvl w:val="0"/>
          <w:numId w:val="3"/>
        </w:numPr>
      </w:pPr>
      <w:r>
        <w:t xml:space="preserve">Security: SSL/TLS 1.3 enforced, request signing for S3 origin access, DDoS protection via AWS Shield Standard/Advanced</w:t>
      </w:r>
    </w:p>
    <w:p>
      <w:pPr>
        <w:spacing w:after="180"/>
      </w:pPr>
      <w:r>
        <w:t xml:space="preserve"/>
      </w:r>
    </w:p>
    <w:p>
      <w:pPr>
        <w:pStyle w:val="Heading2"/>
      </w:pPr>
      <w:r>
        <w:t xml:space="preserve">VPC Architecture</w:t>
      </w:r>
    </w:p>
    <w:p>
      <w:pPr>
        <w:pStyle w:val="Heading3"/>
      </w:pPr>
      <w:r>
        <w:t xml:space="preserve">Network Isolation: VPC (10.0.0.0/16) with three tiers:</w:t>
      </w:r>
    </w:p>
    <w:p>
      <w:pPr>
        <w:pStyle w:val="ListParagraph"/>
        <w:numPr>
          <w:ilvl w:val="0"/>
          <w:numId w:val="3"/>
        </w:numPr>
      </w:pPr>
      <w:r>
        <w:t xml:space="preserve">Public Subnets (3 AZs, 10.0.0.0/24 each): Application Load Balancer, NAT Gateways, no compute resources</w:t>
      </w:r>
    </w:p>
    <w:p>
      <w:pPr>
        <w:pStyle w:val="ListParagraph"/>
        <w:numPr>
          <w:ilvl w:val="0"/>
          <w:numId w:val="3"/>
        </w:numPr>
      </w:pPr>
      <w:r>
        <w:t xml:space="preserve">Private Subnets (3 AZs, 10.0.1.0/24 each): EKS worker nodes, microservices, no internet access</w:t>
      </w:r>
    </w:p>
    <w:p>
      <w:pPr>
        <w:pStyle w:val="ListParagraph"/>
        <w:numPr>
          <w:ilvl w:val="0"/>
          <w:numId w:val="3"/>
        </w:numPr>
      </w:pPr>
      <w:r>
        <w:t xml:space="preserve">Database Subnets (3 AZs, 10.0.2.0/24 each): RDS instances, ElastiCache clusters, restricted access (port 5432, 6379 only)</w:t>
      </w:r>
    </w:p>
    <w:p>
      <w:pPr>
        <w:pStyle w:val="ListParagraph"/>
        <w:numPr>
          <w:ilvl w:val="0"/>
          <w:numId w:val="3"/>
        </w:numPr>
      </w:pPr>
      <w:r>
        <w:t xml:space="preserve">Security Groups: Strict rules per tier with least-privilege access, ALB &amp;#x2192; EKS (port 443), EKS &amp;#x2192; RDS (port 5432)</w:t>
      </w:r>
    </w:p>
    <w:p>
      <w:pPr>
        <w:pStyle w:val="ListParagraph"/>
        <w:numPr>
          <w:ilvl w:val="0"/>
          <w:numId w:val="3"/>
        </w:numPr>
      </w:pPr>
      <w:r>
        <w:t xml:space="preserve">NAT Gateways: Outbound internet access for services via single IP per AZ for consistent egress filtering</w:t>
      </w:r>
    </w:p>
    <w:p>
      <w:pPr>
        <w:spacing w:after="240"/>
      </w:pPr>
      <w:r>
        <w:t xml:space="preserve"/>
      </w:r>
    </w:p>
    <w:p>
      <w:pPr>
        <w:pStyle w:val="Heading1"/>
      </w:pPr>
      <w:r>
        <w:t xml:space="preserve">Monitoring &amp; Observability</w:t>
      </w:r>
    </w:p>
    <w:p>
      <w:pPr>
        <w:pStyle w:val="Heading2"/>
      </w:pPr>
      <w:r>
        <w:t xml:space="preserve">Structured Logging with Correlation IDs</w:t>
      </w:r>
    </w:p>
    <w:p>
      <w:r>
        <w:t xml:space="preserve">All logs are structured JSON with standard fields: timestamp, correlation_id, service_name, log_level, user_id, action, duration_ms, status_code, error_details. Correlation IDs (UUID v4) track requests across all services from entry point to response. Logs aggregated to Datadog with retention of 30 days hot, 90 days cold archive. Search/alerting on correlation_id enables rapid root cause analysis for customer issues.</w:t>
      </w:r>
    </w:p>
    <w:p>
      <w:pPr>
        <w:spacing w:after="180"/>
      </w:pPr>
      <w:r>
        <w:t xml:space="preserve"/>
      </w:r>
    </w:p>
    <w:p>
      <w:pPr>
        <w:pStyle w:val="Heading2"/>
      </w:pPr>
      <w:r>
        <w:t xml:space="preserve">Distributed Tracing (OpenTelemetry)</w:t>
      </w:r>
    </w:p>
    <w:p>
      <w:r>
        <w:t xml:space="preserve">OpenTelemetry SDK instrumentation captures spans for every request with parent-child relationships showing service dependencies. 100% sampling for production (1 year retention), 10% sampling for non-prod. Traces include database query durations, external API calls, business logic timings. Jaeger backend visualizes service graph and identifies latency bottlenecks.</w:t>
      </w:r>
    </w:p>
    <w:p>
      <w:pPr>
        <w:spacing w:after="180"/>
      </w:pPr>
      <w:r>
        <w:t xml:space="preserve"/>
      </w:r>
    </w:p>
    <w:p>
      <w:pPr>
        <w:pStyle w:val="Heading2"/>
      </w:pPr>
      <w:r>
        <w:t xml:space="preserve">Custom Healthcare Metrics</w:t>
      </w:r>
    </w:p>
    <w:p>
      <w:pPr>
        <w:pStyle w:val="Heading3"/>
      </w:pPr>
      <w:r>
        <w:t xml:space="preserve">Key Performance Indicators:</w:t>
      </w:r>
    </w:p>
    <w:p>
      <w:pPr>
        <w:pStyle w:val="ListParagraph"/>
        <w:numPr>
          <w:ilvl w:val="0"/>
          <w:numId w:val="3"/>
        </w:numPr>
      </w:pPr>
      <w:r>
        <w:t xml:space="preserve">Claim Processing Latency: P50/P95/P99 submission-to-adjudication time, target &lt; 3 days for 95% of claims</w:t>
      </w:r>
    </w:p>
    <w:p>
      <w:pPr>
        <w:pStyle w:val="ListParagraph"/>
        <w:numPr>
          <w:ilvl w:val="0"/>
          <w:numId w:val="3"/>
        </w:numPr>
      </w:pPr>
      <w:r>
        <w:t xml:space="preserve">Denial Rate Trends: Monthly denial rate by claim type, payer, provider specialty with root cause analysis</w:t>
      </w:r>
    </w:p>
    <w:p>
      <w:pPr>
        <w:pStyle w:val="ListParagraph"/>
        <w:numPr>
          <w:ilvl w:val="0"/>
          <w:numId w:val="3"/>
        </w:numPr>
      </w:pPr>
      <w:r>
        <w:t xml:space="preserve">Prior Auth Turnaround: Time from request submission to decision notification, target &lt; 24 hours for 80% of requests</w:t>
      </w:r>
    </w:p>
    <w:p>
      <w:pPr>
        <w:pStyle w:val="ListParagraph"/>
        <w:numPr>
          <w:ilvl w:val="0"/>
          <w:numId w:val="3"/>
        </w:numPr>
      </w:pPr>
      <w:r>
        <w:t xml:space="preserve">System Uptime: Real-time availability per service (Claims, Auth, Messaging, Eligibility) with 99.95% SLA target</w:t>
      </w:r>
    </w:p>
    <w:p>
      <w:pPr>
        <w:pStyle w:val="ListParagraph"/>
        <w:numPr>
          <w:ilvl w:val="0"/>
          <w:numId w:val="3"/>
        </w:numPr>
      </w:pPr>
      <w:r>
        <w:t xml:space="preserve">API Latency: Response times by endpoint with percentile distribution (P50, P95, P99, P999)</w:t>
      </w:r>
    </w:p>
    <w:p>
      <w:pPr>
        <w:pStyle w:val="ListParagraph"/>
        <w:numPr>
          <w:ilvl w:val="0"/>
          <w:numId w:val="3"/>
        </w:numPr>
      </w:pPr>
      <w:r>
        <w:t xml:space="preserve">EDI Transaction Success Rate: Successful X12 submissions, rejections, and retry rates</w:t>
      </w:r>
    </w:p>
    <w:p>
      <w:pPr>
        <w:pStyle w:val="ListParagraph"/>
        <w:numPr>
          <w:ilvl w:val="0"/>
          <w:numId w:val="3"/>
        </w:numPr>
      </w:pPr>
      <w:r>
        <w:t xml:space="preserve">Cache Hit Rates: Eligibility cache hit ratio (target &gt; 75%), session cache performance</w:t>
      </w:r>
    </w:p>
    <w:p>
      <w:pPr>
        <w:spacing w:after="180"/>
      </w:pPr>
      <w:r>
        <w:t xml:space="preserve"/>
      </w:r>
    </w:p>
    <w:p>
      <w:pPr>
        <w:pStyle w:val="Heading2"/>
      </w:pPr>
      <w:r>
        <w:t xml:space="preserve">Alert Definitions and Escalation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Alert Tier</w:t>
            </w:r>
          </w:p>
        </w:tc>
        <w:tc>
          <w:tcPr>
            <w:tcW w:type="dxa" w:w="37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Trigger Condition</w:t>
            </w:r>
          </w:p>
        </w:tc>
        <w:tc>
          <w:tcPr>
            <w:tcW w:type="dxa" w:w="37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Escalation</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Tier 1 - Critical</w:t>
            </w:r>
          </w:p>
        </w:tc>
        <w:tc>
          <w:tcPr>
            <w:tcW w:type="dxa" w:w="3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Service Unavailable (CPU &gt; 90%, Memory &gt; 85%, Request Error Rate &gt; 5%)</w:t>
            </w:r>
          </w:p>
        </w:tc>
        <w:tc>
          <w:tcPr>
            <w:tcW w:type="dxa" w:w="3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Immediately to on-call engineer via PagerDuty SMS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Tier 2 - High</w:t>
            </w:r>
          </w:p>
        </w:tc>
        <w:tc>
          <w:tcPr>
            <w:tcW w:type="dxa" w:w="3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Database Replication Lag &gt; 30 seconds, EDI Gateway failures, Auth failure rate &gt; 1%</w:t>
            </w:r>
          </w:p>
        </w:tc>
        <w:tc>
          <w:tcPr>
            <w:tcW w:type="dxa" w:w="3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PagerDuty notification, escalate if not acknowledged in 15 min</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Tier 3 - Medium</w:t>
            </w:r>
          </w:p>
        </w:tc>
        <w:tc>
          <w:tcPr>
            <w:tcW w:type="dxa" w:w="3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P95 latency &gt; 5 seconds, Claim denial rate increase &gt; 10% day-over-day</w:t>
            </w:r>
          </w:p>
        </w:tc>
        <w:tc>
          <w:tcPr>
            <w:tcW w:type="dxa" w:w="3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Slack #alerts, escalate to team lead if trend continues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Tier 4 - Low</w:t>
            </w:r>
          </w:p>
        </w:tc>
        <w:tc>
          <w:tcPr>
            <w:tcW w:type="dxa" w:w="3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Cache miss rate &gt; 50%, API deprecation warnings</w:t>
            </w:r>
          </w:p>
        </w:tc>
        <w:tc>
          <w:tcPr>
            <w:tcW w:type="dxa" w:w="37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Log to Datadog dashboard, review in daily standups</w:t>
            </w:r>
          </w:p>
        </w:tc>
      </w:tr>
    </w:tbl>
    <w:p>
      <w:pPr>
        <w:spacing w:after="180"/>
      </w:pPr>
      <w:r>
        <w:t xml:space="preserve"/>
      </w:r>
    </w:p>
    <w:p>
      <w:pPr>
        <w:pStyle w:val="Heading2"/>
      </w:pPr>
      <w:r>
        <w:t xml:space="preserve">SLA Dashboards</w:t>
      </w:r>
    </w:p>
    <w:p>
      <w:r>
        <w:t xml:space="preserve">Real-time Grafana dashboards display uptime percentage per service, error rates, latency percentiles, and business metrics (claims processed, auth decisions, messages sent). Monthly SLA reports generated automatically comparing actual performance against contractual targets (99.5% availability, &lt; 3s API response, 24hr auth turnaround). Customers access dashboard via customer portal with metrics filtered to their accounts.</w:t>
      </w:r>
    </w:p>
    <w:p>
      <w:pPr>
        <w:spacing w:after="240"/>
      </w:pPr>
      <w:r>
        <w:t xml:space="preserve"/>
      </w:r>
    </w:p>
    <w:p>
      <w:pPr>
        <w:pStyle w:val="Heading1"/>
      </w:pPr>
      <w:r>
        <w:t xml:space="preserve">Disaster Recovery &amp; Business Continuity</w:t>
      </w:r>
    </w:p>
    <w:p>
      <w:pPr>
        <w:pStyle w:val="Heading2"/>
      </w:pPr>
      <w:r>
        <w:t xml:space="preserve">RTO/RPO Targets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Tier</w:t>
            </w:r>
          </w:p>
        </w:tc>
        <w:tc>
          <w:tcPr>
            <w:tcW w:type="dxa" w:w="25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System Components</w:t>
            </w:r>
          </w:p>
        </w:tc>
        <w:tc>
          <w:tcPr>
            <w:tcW w:type="dxa" w:w="25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RTO</w:t>
            </w:r>
          </w:p>
        </w:tc>
        <w:tc>
          <w:tcPr>
            <w:tcW w:type="dxa" w:w="25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RPO</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Tier 1 - Critical</w:t>
            </w:r>
          </w:p>
        </w:tc>
        <w:tc>
          <w:tcPr>
            <w:tcW w:type="dxa" w:w="25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Claims Service, Payment Processing</w:t>
            </w:r>
          </w:p>
        </w:tc>
        <w:tc>
          <w:tcPr>
            <w:tcW w:type="dxa" w:w="25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&lt; 1 hour</w:t>
            </w:r>
          </w:p>
        </w:tc>
        <w:tc>
          <w:tcPr>
            <w:tcW w:type="dxa" w:w="25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&lt; 15 minutes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Tier 2 - High</w:t>
            </w:r>
          </w:p>
        </w:tc>
        <w:tc>
          <w:tcPr>
            <w:tcW w:type="dxa" w:w="25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Prior Auth, Eligibility</w:t>
            </w:r>
          </w:p>
        </w:tc>
        <w:tc>
          <w:tcPr>
            <w:tcW w:type="dxa" w:w="25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&lt; 4 hours</w:t>
            </w:r>
          </w:p>
        </w:tc>
        <w:tc>
          <w:tcPr>
            <w:tcW w:type="dxa" w:w="25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&lt; 1 hour</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Tier 3 - Medium</w:t>
            </w:r>
          </w:p>
        </w:tc>
        <w:tc>
          <w:tcPr>
            <w:tcW w:type="dxa" w:w="25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Messaging, Analytics</w:t>
            </w:r>
          </w:p>
        </w:tc>
        <w:tc>
          <w:tcPr>
            <w:tcW w:type="dxa" w:w="25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&lt; 8 hours</w:t>
            </w:r>
          </w:p>
        </w:tc>
        <w:tc>
          <w:tcPr>
            <w:tcW w:type="dxa" w:w="25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&lt; 4 hours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Tier 4 - Low</w:t>
            </w:r>
          </w:p>
        </w:tc>
        <w:tc>
          <w:tcPr>
            <w:tcW w:type="dxa" w:w="25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Administrative Functions</w:t>
            </w:r>
          </w:p>
        </w:tc>
        <w:tc>
          <w:tcPr>
            <w:tcW w:type="dxa" w:w="25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&lt; 24 hours</w:t>
            </w:r>
          </w:p>
        </w:tc>
        <w:tc>
          <w:tcPr>
            <w:tcW w:type="dxa" w:w="25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&lt; 24 hours</w:t>
            </w:r>
          </w:p>
        </w:tc>
      </w:tr>
    </w:tbl>
    <w:p>
      <w:pPr>
        <w:spacing w:after="180"/>
      </w:pPr>
      <w:r>
        <w:t xml:space="preserve"/>
      </w:r>
    </w:p>
    <w:p>
      <w:pPr>
        <w:pStyle w:val="Heading2"/>
      </w:pPr>
      <w:r>
        <w:t xml:space="preserve">Automated Failover Procedures</w:t>
      </w:r>
    </w:p>
    <w:p>
      <w:pPr>
        <w:pStyle w:val="ListParagraph"/>
        <w:numPr>
          <w:ilvl w:val="0"/>
          <w:numId w:val="3"/>
        </w:numPr>
      </w:pPr>
      <w:r>
        <w:t xml:space="preserve">Database Failover: RDS detects primary database failure, automatically promotes synchronous standby replica to primary within 30-60 seconds with DNS update</w:t>
      </w:r>
    </w:p>
    <w:p>
      <w:pPr>
        <w:pStyle w:val="ListParagraph"/>
        <w:numPr>
          <w:ilvl w:val="0"/>
          <w:numId w:val="3"/>
        </w:numPr>
      </w:pPr>
      <w:r>
        <w:t xml:space="preserve">Service Failover: Kubernetes automatically reschedules failed pods on healthy nodes, load balancer removes unhealthy instances in &lt; 10 seconds</w:t>
      </w:r>
    </w:p>
    <w:p>
      <w:pPr>
        <w:pStyle w:val="ListParagraph"/>
        <w:numPr>
          <w:ilvl w:val="0"/>
          <w:numId w:val="3"/>
        </w:numPr>
      </w:pPr>
      <w:r>
        <w:t xml:space="preserve">Regional Failover: CloudFront health checks detect region outage, automatically routes traffic to secondary region within 2 minutes</w:t>
      </w:r>
    </w:p>
    <w:p>
      <w:pPr>
        <w:pStyle w:val="ListParagraph"/>
        <w:numPr>
          <w:ilvl w:val="0"/>
          <w:numId w:val="3"/>
        </w:numPr>
      </w:pPr>
      <w:r>
        <w:t xml:space="preserve">Manual Intervention: On-call engineer reviews automatic failover, confirms correctness, documents incident for post-mortem analysis</w:t>
      </w:r>
    </w:p>
    <w:p>
      <w:pPr>
        <w:pStyle w:val="ListParagraph"/>
        <w:numPr>
          <w:ilvl w:val="0"/>
          <w:numId w:val="3"/>
        </w:numPr>
      </w:pPr>
      <w:r>
        <w:t xml:space="preserve">Rollback Plan: Documented procedures to restore original configuration once primary systems recover</w:t>
      </w:r>
    </w:p>
    <w:p>
      <w:pPr>
        <w:spacing w:after="180"/>
      </w:pPr>
      <w:r>
        <w:t xml:space="preserve"/>
      </w:r>
    </w:p>
    <w:p>
      <w:pPr>
        <w:pStyle w:val="Heading2"/>
      </w:pPr>
      <w:r>
        <w:t xml:space="preserve">Backup Strategies</w:t>
      </w:r>
    </w:p>
    <w:p>
      <w:pPr>
        <w:pStyle w:val="Heading3"/>
      </w:pPr>
      <w:r>
        <w:t xml:space="preserve">Database Backups:</w:t>
      </w:r>
    </w:p>
    <w:p>
      <w:pPr>
        <w:pStyle w:val="ListParagraph"/>
        <w:numPr>
          <w:ilvl w:val="0"/>
          <w:numId w:val="3"/>
        </w:numPr>
      </w:pPr>
      <w:r>
        <w:t xml:space="preserve">Automated daily snapshots retained for 30 days (incremental after day 1)</w:t>
      </w:r>
    </w:p>
    <w:p>
      <w:pPr>
        <w:pStyle w:val="ListParagraph"/>
        <w:numPr>
          <w:ilvl w:val="0"/>
          <w:numId w:val="3"/>
        </w:numPr>
      </w:pPr>
      <w:r>
        <w:t xml:space="preserve">Hourly WAL (Write-Ahead Log) archiving to S3 for point-in-time recovery up to 35 days</w:t>
      </w:r>
    </w:p>
    <w:p>
      <w:pPr>
        <w:pStyle w:val="ListParagraph"/>
        <w:numPr>
          <w:ilvl w:val="0"/>
          <w:numId w:val="3"/>
        </w:numPr>
      </w:pPr>
      <w:r>
        <w:t xml:space="preserve">Cross-region backup replication to secondary region in &lt; 1 hour</w:t>
      </w:r>
    </w:p>
    <w:p>
      <w:pPr>
        <w:pStyle w:val="ListParagraph"/>
        <w:numPr>
          <w:ilvl w:val="0"/>
          <w:numId w:val="3"/>
        </w:numPr>
      </w:pPr>
      <w:r>
        <w:t xml:space="preserve">Weekly full backup stored in separate S3 bucket in different AWS account for disaster recovery</w:t>
      </w:r>
    </w:p>
    <w:p>
      <w:pPr>
        <w:spacing w:after="120"/>
      </w:pPr>
      <w:r>
        <w:t xml:space="preserve"/>
      </w:r>
    </w:p>
    <w:p>
      <w:pPr>
        <w:pStyle w:val="Heading3"/>
      </w:pPr>
      <w:r>
        <w:t xml:space="preserve">Object Storage Backups:</w:t>
      </w:r>
    </w:p>
    <w:p>
      <w:pPr>
        <w:pStyle w:val="ListParagraph"/>
        <w:numPr>
          <w:ilvl w:val="0"/>
          <w:numId w:val="3"/>
        </w:numPr>
      </w:pPr>
      <w:r>
        <w:t xml:space="preserve">S3 versioning enabled on all document and attachment buckets (30-day retention)</w:t>
      </w:r>
    </w:p>
    <w:p>
      <w:pPr>
        <w:pStyle w:val="ListParagraph"/>
        <w:numPr>
          <w:ilvl w:val="0"/>
          <w:numId w:val="3"/>
        </w:numPr>
      </w:pPr>
      <w:r>
        <w:t xml:space="preserve">Cross-region replication to us-west-2 with 5-minute sync latency</w:t>
      </w:r>
    </w:p>
    <w:p>
      <w:pPr>
        <w:pStyle w:val="ListParagraph"/>
        <w:numPr>
          <w:ilvl w:val="0"/>
          <w:numId w:val="3"/>
        </w:numPr>
      </w:pPr>
      <w:r>
        <w:t xml:space="preserve">Lifecycle policies archive to Glacier after 90 days, delete after 7 years (per compliance)</w:t>
      </w:r>
    </w:p>
    <w:p>
      <w:pPr>
        <w:spacing w:after="180"/>
      </w:pPr>
      <w:r>
        <w:t xml:space="preserve"/>
      </w:r>
    </w:p>
    <w:p>
      <w:pPr>
        <w:pStyle w:val="Heading2"/>
      </w:pPr>
      <w:r>
        <w:t xml:space="preserve">DR Testing Schedule</w:t>
      </w:r>
    </w:p>
    <w:p>
      <w:r>
        <w:t xml:space="preserve">Disaster recovery drills conducted quarterly with documented procedures:</w:t>
      </w:r>
    </w:p>
    <w:p>
      <w:pPr>
        <w:pStyle w:val="ListParagraph"/>
        <w:numPr>
          <w:ilvl w:val="0"/>
          <w:numId w:val="3"/>
        </w:numPr>
      </w:pPr>
      <w:r>
        <w:t xml:space="preserve">Q1: Database restore from snapshot in secondary region, full data integrity validation</w:t>
      </w:r>
    </w:p>
    <w:p>
      <w:pPr>
        <w:pStyle w:val="ListParagraph"/>
        <w:numPr>
          <w:ilvl w:val="0"/>
          <w:numId w:val="3"/>
        </w:numPr>
      </w:pPr>
      <w:r>
        <w:t xml:space="preserve">Q2: Complete service failover to secondary region, production traffic simulation (non-breaking)</w:t>
      </w:r>
    </w:p>
    <w:p>
      <w:pPr>
        <w:pStyle w:val="ListParagraph"/>
        <w:numPr>
          <w:ilvl w:val="0"/>
          <w:numId w:val="3"/>
        </w:numPr>
      </w:pPr>
      <w:r>
        <w:t xml:space="preserve">Q3: Backup restoration test, point-in-time recovery to specific timestamp, data verification</w:t>
      </w:r>
    </w:p>
    <w:p>
      <w:pPr>
        <w:pStyle w:val="ListParagraph"/>
        <w:numPr>
          <w:ilvl w:val="0"/>
          <w:numId w:val="3"/>
        </w:numPr>
      </w:pPr>
      <w:r>
        <w:t xml:space="preserve">Q4: Full architecture failure simulation, recovery runbook verification, team training</w:t>
      </w:r>
    </w:p>
    <w:p>
      <w:pPr>
        <w:spacing w:after="240"/>
      </w:pPr>
      <w:r>
        <w:t xml:space="preserve"/>
      </w:r>
    </w:p>
    <w:p>
      <w:pPr>
        <w:pStyle w:val="Heading1"/>
      </w:pPr>
      <w:r>
        <w:t xml:space="preserve">Performance &amp; Scalability</w:t>
      </w:r>
    </w:p>
    <w:p>
      <w:pPr>
        <w:pStyle w:val="Heading2"/>
      </w:pPr>
      <w:r>
        <w:t xml:space="preserve">Load Testing Targets</w:t>
      </w:r>
    </w:p>
    <w:p>
      <w:r>
        <w:t xml:space="preserve">Concurrent Users: 10,000 simultaneous providers and payers with realistic claim submission, eligibility verification, and messaging workflows. Monthly Transaction Volume: 1,000,000 claims processed, 500,000 eligibility verifications, 100,000 prior authorization requests, 2,000,000 messages. Peak Load: 150% of average hourly load handled without degradation (P95 latency &lt; 2 seconds). Load testing performed monthly using Apache JMeter simulating actual workflows across all services.</w:t>
      </w:r>
    </w:p>
    <w:p>
      <w:pPr>
        <w:spacing w:after="180"/>
      </w:pPr>
      <w:r>
        <w:t xml:space="preserve"/>
      </w:r>
    </w:p>
    <w:p>
      <w:pPr>
        <w:pStyle w:val="Heading2"/>
      </w:pPr>
      <w:r>
        <w:t xml:space="preserve">Caching Strategy</w:t>
      </w:r>
    </w:p>
    <w:p>
      <w:pPr>
        <w:pStyle w:val="Heading3"/>
      </w:pPr>
      <w:r>
        <w:t xml:space="preserve">Redis Caching Layer:</w:t>
      </w:r>
    </w:p>
    <w:p>
      <w:pPr>
        <w:pStyle w:val="ListParagraph"/>
        <w:numPr>
          <w:ilvl w:val="0"/>
          <w:numId w:val="3"/>
        </w:numPr>
      </w:pPr>
      <w:r>
        <w:t xml:space="preserve">Session Cache: User sessions (10KB per session, 500K concurrent) with 8-hour TTL, automatic serialization/deserialization</w:t>
      </w:r>
    </w:p>
    <w:p>
      <w:pPr>
        <w:pStyle w:val="ListParagraph"/>
        <w:numPr>
          <w:ilvl w:val="0"/>
          <w:numId w:val="3"/>
        </w:numPr>
      </w:pPr>
      <w:r>
        <w:t xml:space="preserve">Eligibility Cache: Coverage results (1KB per record, &gt; 1M records) with 30/60/90-day TTL based on payer configuration</w:t>
      </w:r>
    </w:p>
    <w:p>
      <w:pPr>
        <w:pStyle w:val="ListParagraph"/>
        <w:numPr>
          <w:ilvl w:val="0"/>
          <w:numId w:val="3"/>
        </w:numPr>
      </w:pPr>
      <w:r>
        <w:t xml:space="preserve">Contract Cache: Fee schedules (50KB per contract) with 24-hour TTL, invalidated on update</w:t>
      </w:r>
    </w:p>
    <w:p>
      <w:pPr>
        <w:pStyle w:val="ListParagraph"/>
        <w:numPr>
          <w:ilvl w:val="0"/>
          <w:numId w:val="3"/>
        </w:numPr>
      </w:pPr>
      <w:r>
        <w:t xml:space="preserve">Provider/Payer Cache: Directory information (10MB dataset) with 7-day TTL</w:t>
      </w:r>
    </w:p>
    <w:p>
      <w:pPr>
        <w:pStyle w:val="ListParagraph"/>
        <w:numPr>
          <w:ilvl w:val="0"/>
          <w:numId w:val="3"/>
        </w:numPr>
      </w:pPr>
      <w:r>
        <w:t xml:space="preserve">Rate Limiting Cache: Request counters per API key (100 requests/sec per provider) with 1-second expiry</w:t>
      </w:r>
    </w:p>
    <w:p>
      <w:pPr>
        <w:spacing w:after="120"/>
      </w:pPr>
      <w:r>
        <w:t xml:space="preserve"/>
      </w:r>
    </w:p>
    <w:p>
      <w:pPr>
        <w:pStyle w:val="Heading3"/>
      </w:pPr>
      <w:r>
        <w:t xml:space="preserve">CDN Caching:</w:t>
      </w:r>
    </w:p>
    <w:p>
      <w:pPr>
        <w:pStyle w:val="ListParagraph"/>
        <w:numPr>
          <w:ilvl w:val="0"/>
          <w:numId w:val="3"/>
        </w:numPr>
      </w:pPr>
      <w:r>
        <w:t xml:space="preserve">Static Assets: React bundles, CSS, images cached at edge locations (1-year TTL for versioned, 5-minute TTL for index.html)</w:t>
      </w:r>
    </w:p>
    <w:p>
      <w:pPr>
        <w:pStyle w:val="ListParagraph"/>
        <w:numPr>
          <w:ilvl w:val="0"/>
          <w:numId w:val="3"/>
        </w:numPr>
      </w:pPr>
      <w:r>
        <w:t xml:space="preserve">API Response Caching: GET endpoints cached 5-10 minutes depending on data freshness requirements</w:t>
      </w:r>
    </w:p>
    <w:p>
      <w:pPr>
        <w:spacing w:after="180"/>
      </w:pPr>
      <w:r>
        <w:t xml:space="preserve"/>
      </w:r>
    </w:p>
    <w:p>
      <w:pPr>
        <w:pStyle w:val="Heading2"/>
      </w:pPr>
      <w:r>
        <w:t xml:space="preserve">Database Partitioning</w:t>
      </w:r>
    </w:p>
    <w:p>
      <w:pPr>
        <w:pStyle w:val="ListParagraph"/>
        <w:numPr>
          <w:ilvl w:val="0"/>
          <w:numId w:val="3"/>
        </w:numPr>
      </w:pPr>
      <w:r>
        <w:t xml:space="preserve">Payer Partitioning: Claims table range-partitioned by payer_id with 10-20 partitions, enables parallel query execution and independent index maintenance</w:t>
      </w:r>
    </w:p>
    <w:p>
      <w:pPr>
        <w:pStyle w:val="ListParagraph"/>
        <w:numPr>
          <w:ilvl w:val="0"/>
          <w:numId w:val="3"/>
        </w:numPr>
      </w:pPr>
      <w:r>
        <w:t xml:space="preserve">Date Partitioning: Time-series data (audit logs, messages) partitioned by month, older partitions compressed and archived to cold storage</w:t>
      </w:r>
    </w:p>
    <w:p>
      <w:pPr>
        <w:pStyle w:val="ListParagraph"/>
        <w:numPr>
          <w:ilvl w:val="0"/>
          <w:numId w:val="3"/>
        </w:numPr>
      </w:pPr>
      <w:r>
        <w:t xml:space="preserve">Archive Strategy: Partitions older than 2 years moved to separate archived schema, still queryable but optimized for infrequent access</w:t>
      </w:r>
    </w:p>
    <w:p>
      <w:pPr>
        <w:spacing w:after="180"/>
      </w:pPr>
      <w:r>
        <w:t xml:space="preserve"/>
      </w:r>
    </w:p>
    <w:p>
      <w:pPr>
        <w:pStyle w:val="Heading2"/>
      </w:pPr>
      <w:r>
        <w:t xml:space="preserve">Auto-Scaling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Trigger</w:t>
            </w:r>
          </w:p>
        </w:tc>
        <w:tc>
          <w:tcPr>
            <w:tcW w:type="dxa" w:w="46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Compute (EKS)</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CPU &gt; 70%</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Add 2-5 nodes, max 200 nodes</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Compute (EKS)</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Memory &gt; 75%</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Add 2-5 nodes, max 200 nodes</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Request Latency</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P95 latency &gt; 2 seconds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Increase pod replicas (max 50 per service)</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Kafka Consumers</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Lag &gt; 5 minutes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Add consumer instances (max 20 per partition)</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ElastiCache</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Eviction rate &gt; 1%</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Add cache nodes (max 500GB per cluster)</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RDS Read Replicas</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CPU &gt; 80%</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Add read replica up to max 15 per primary</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Cool-down Period</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After scale event</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18"/>
                <w:szCs w:val="18"/>
              </w:rPr>
              <w:t xml:space="preserve">5 minutes before next scaling decision to prevent oscillation</w:t>
            </w:r>
          </w:p>
        </w:tc>
      </w:tr>
    </w:tbl>
    <w:p>
      <w:r>
        <w:br w:type="page"/>
      </w:r>
    </w:p>
    <w:p>
      <w:pPr>
        <w:pStyle w:val="Heading1"/>
      </w:pPr>
      <w:r>
        <w:t xml:space="preserve">Guardrails Engine</w:t>
      </w:r>
    </w:p>
    <w:p>
      <w:r>
        <w:t xml:space="preserve">The Guardrails Engine enforces compliance, clinical validity, and financial integrity across the platform through automated monitoring, rule-based validation, and machine learning anomaly detection.</w:t>
      </w:r>
    </w:p>
    <w:p>
      <w:pPr>
        <w:spacing w:after="180"/>
      </w:pPr>
      <w:r>
        <w:t xml:space="preserve"/>
      </w:r>
    </w:p>
    <w:p>
      <w:pPr>
        <w:pStyle w:val="Heading2"/>
      </w:pPr>
      <w:r>
        <w:t xml:space="preserve">Compliance Guardrails</w:t>
      </w:r>
    </w:p>
    <w:p>
      <w:pPr>
        <w:pStyle w:val="ListParagraph"/>
        <w:numPr>
          <w:ilvl w:val="0"/>
          <w:numId w:val="3"/>
        </w:numPr>
      </w:pPr>
      <w:r>
        <w:t xml:space="preserve">Automated HIPAA compliance monitoring</w:t>
      </w:r>
    </w:p>
    <w:p>
      <w:pPr>
        <w:pStyle w:val="ListParagraph"/>
        <w:numPr>
          <w:ilvl w:val="0"/>
          <w:numId w:val="3"/>
        </w:numPr>
      </w:pPr>
      <w:r>
        <w:t xml:space="preserve">PHI access pattern analysis with anomaly detection</w:t>
      </w:r>
    </w:p>
    <w:p>
      <w:pPr>
        <w:pStyle w:val="ListParagraph"/>
        <w:numPr>
          <w:ilvl w:val="0"/>
          <w:numId w:val="3"/>
        </w:numPr>
      </w:pPr>
      <w:r>
        <w:t xml:space="preserve">BAA lifecycle management and expiration tracking</w:t>
      </w:r>
    </w:p>
    <w:p>
      <w:pPr>
        <w:pStyle w:val="ListParagraph"/>
        <w:numPr>
          <w:ilvl w:val="0"/>
          <w:numId w:val="3"/>
        </w:numPr>
      </w:pPr>
      <w:r>
        <w:t xml:space="preserve">Breach notification workflow automation (&lt; 72 hour window)</w:t>
      </w:r>
    </w:p>
    <w:p>
      <w:pPr>
        <w:pStyle w:val="ListParagraph"/>
        <w:numPr>
          <w:ilvl w:val="0"/>
          <w:numId w:val="3"/>
        </w:numPr>
      </w:pPr>
      <w:r>
        <w:t xml:space="preserve">Real-time compliance scoring algorithm (weighted factors: access controls 25%, encryption 20%, audit logging 20%, training 15%, policy enforcement 20%)</w:t>
      </w:r>
    </w:p>
    <w:p>
      <w:pPr>
        <w:spacing w:after="180"/>
      </w:pPr>
      <w:r>
        <w:t xml:space="preserve"/>
      </w:r>
    </w:p>
    <w:p>
      <w:pPr>
        <w:pStyle w:val="Heading2"/>
      </w:pPr>
      <w:r>
        <w:t xml:space="preserve">Clinical Guardrails</w:t>
      </w:r>
    </w:p>
    <w:p>
      <w:r>
        <w:t xml:space="preserve">Claim Validation Engine: Rules-based pre-submission screening with support for multiple rule types:</w:t>
      </w:r>
    </w:p>
    <w:p>
      <w:pPr>
        <w:pStyle w:val="ListParagraph"/>
        <w:numPr>
          <w:ilvl w:val="0"/>
          <w:numId w:val="3"/>
        </w:numPr>
      </w:pPr>
      <w:r>
        <w:t xml:space="preserve">NCCI edit compliance</w:t>
      </w:r>
    </w:p>
    <w:p>
      <w:pPr>
        <w:pStyle w:val="ListParagraph"/>
        <w:numPr>
          <w:ilvl w:val="0"/>
          <w:numId w:val="3"/>
        </w:numPr>
      </w:pPr>
      <w:r>
        <w:t xml:space="preserve">LCD/NCD medical necessity</w:t>
      </w:r>
    </w:p>
    <w:p>
      <w:pPr>
        <w:pStyle w:val="ListParagraph"/>
        <w:numPr>
          <w:ilvl w:val="0"/>
          <w:numId w:val="3"/>
        </w:numPr>
      </w:pPr>
      <w:r>
        <w:t xml:space="preserve">Modifier validation</w:t>
      </w:r>
    </w:p>
    <w:p>
      <w:pPr>
        <w:pStyle w:val="ListParagraph"/>
        <w:numPr>
          <w:ilvl w:val="0"/>
          <w:numId w:val="3"/>
        </w:numPr>
      </w:pPr>
      <w:r>
        <w:t xml:space="preserve">E&amp;M level verification</w:t>
      </w:r>
    </w:p>
    <w:p>
      <w:pPr>
        <w:pStyle w:val="ListParagraph"/>
        <w:numPr>
          <w:ilvl w:val="0"/>
          <w:numId w:val="3"/>
        </w:numPr>
      </w:pPr>
      <w:r>
        <w:t xml:space="preserve">Timely filing enforcement</w:t>
      </w:r>
    </w:p>
    <w:p>
      <w:pPr>
        <w:pStyle w:val="ListParagraph"/>
        <w:numPr>
          <w:ilvl w:val="0"/>
          <w:numId w:val="3"/>
        </w:numPr>
      </w:pPr>
      <w:r>
        <w:t xml:space="preserve">Code bundling detection</w:t>
      </w:r>
    </w:p>
    <w:p>
      <w:pPr>
        <w:spacing w:after="120"/>
      </w:pPr>
      <w:r>
        <w:t xml:space="preserve"/>
      </w:r>
    </w:p>
    <w:p>
      <w:r>
        <w:t xml:space="preserve">Integration with CMS and payer-specific rule sets, with machine learning model for denial prediction trained on historical claim outcomes.</w:t>
      </w:r>
    </w:p>
    <w:p>
      <w:pPr>
        <w:spacing w:after="180"/>
      </w:pPr>
      <w:r>
        <w:t xml:space="preserve"/>
      </w:r>
    </w:p>
    <w:p>
      <w:pPr>
        <w:pStyle w:val="Heading3"/>
      </w:pPr>
      <w:r>
        <w:t xml:space="preserve">Clinical Guardrails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06B6D4" w:val="clear"/>
            <w:tcMar>
              <w:top w:type="dxa" w:w="80"/>
              <w:left w:type="dxa" w:w="120"/>
              <w:bottom w:type="dxa" w:w="80"/>
              <w:right w:type="dxa" w:w="120"/>
            </w:tcMar>
          </w:tcPr>
          <w:p>
            <w:r>
              <w:rPr>
                <w:b/>
                <w:bCs/>
                <w:color w:val="FFFFFF"/>
                <w:sz w:val="20"/>
                <w:szCs w:val="20"/>
              </w:rPr>
              <w:t xml:space="preserve">Method</w:t>
            </w:r>
          </w:p>
        </w:tc>
        <w:tc>
          <w:tcPr>
            <w:tcW w:type="dxa" w:w="3930"/>
            <w:tcBorders>
              <w:top w:val="single" w:color="CCCCCC" w:sz="1"/>
              <w:left w:val="single" w:color="CCCCCC" w:sz="1"/>
              <w:bottom w:val="single" w:color="CCCCCC" w:sz="1"/>
              <w:right w:val="single" w:color="CCCCCC" w:sz="1"/>
            </w:tcBorders>
            <w:shd w:fill="06B6D4" w:val="clear"/>
            <w:tcMar>
              <w:top w:type="dxa" w:w="80"/>
              <w:left w:type="dxa" w:w="120"/>
              <w:bottom w:type="dxa" w:w="80"/>
              <w:right w:type="dxa" w:w="120"/>
            </w:tcMar>
          </w:tcPr>
          <w:p>
            <w:r>
              <w:rPr>
                <w:b/>
                <w:bCs/>
                <w:color w:val="FFFFFF"/>
                <w:sz w:val="20"/>
                <w:szCs w:val="20"/>
              </w:rPr>
              <w:t xml:space="preserve">Endpoint</w:t>
            </w:r>
          </w:p>
        </w:tc>
        <w:tc>
          <w:tcPr>
            <w:tcW w:type="dxa" w:w="3930"/>
            <w:tcBorders>
              <w:top w:val="single" w:color="CCCCCC" w:sz="1"/>
              <w:left w:val="single" w:color="CCCCCC" w:sz="1"/>
              <w:bottom w:val="single" w:color="CCCCCC" w:sz="1"/>
              <w:right w:val="single" w:color="CCCCCC" w:sz="1"/>
            </w:tcBorders>
            <w:shd w:fill="06B6D4" w:val="clear"/>
            <w:tcMar>
              <w:top w:type="dxa" w:w="80"/>
              <w:left w:type="dxa" w:w="120"/>
              <w:bottom w:type="dxa" w:w="80"/>
              <w:right w:type="dxa" w:w="120"/>
            </w:tcMar>
          </w:tcPr>
          <w:p>
            <w:r>
              <w:rPr>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POST</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/api/v1/guardrails/validate-claim</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Validate claim before submission</w:t>
            </w:r>
          </w:p>
        </w:tc>
      </w:tr>
      <w:tr>
        <w:tc>
          <w:tcPr>
            <w:tcW w:type="dxa" w:w="15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GET</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/api/v1/guardrails/rules</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List active validation rules</w:t>
            </w:r>
          </w:p>
        </w:tc>
      </w:tr>
      <w:tr>
        <w:tc>
          <w:tcPr>
            <w:tcW w:type="dxa" w:w="15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PUT</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/api/v1/guardrails/rules/{id}</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Enable/disable rule</w:t>
            </w:r>
          </w:p>
        </w:tc>
      </w:tr>
      <w:tr>
        <w:tc>
          <w:tcPr>
            <w:tcW w:type="dxa" w:w="15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GET</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/api/v1/guardrails/compliance-score</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Get current compliance score</w:t>
            </w:r>
          </w:p>
        </w:tc>
      </w:tr>
      <w:tr>
        <w:tc>
          <w:tcPr>
            <w:tcW w:type="dxa" w:w="15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GET</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/api/v1/guardrails/anomalies</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List detected financial anomalies</w:t>
            </w:r>
          </w:p>
        </w:tc>
      </w:tr>
    </w:tbl>
    <w:p>
      <w:pPr>
        <w:spacing w:after="180"/>
      </w:pPr>
      <w:r>
        <w:t xml:space="preserve"/>
      </w:r>
    </w:p>
    <w:p>
      <w:pPr>
        <w:pStyle w:val="Heading2"/>
      </w:pPr>
      <w:r>
        <w:t xml:space="preserve">Financial Guardrails</w:t>
      </w:r>
    </w:p>
    <w:p>
      <w:pPr>
        <w:pStyle w:val="ListParagraph"/>
        <w:numPr>
          <w:ilvl w:val="0"/>
          <w:numId w:val="3"/>
        </w:numPr>
      </w:pPr>
      <w:r>
        <w:t xml:space="preserve">Duplicate claim detection using fuzzy matching (patient + date + CPT + provider)</w:t>
      </w:r>
    </w:p>
    <w:p>
      <w:pPr>
        <w:pStyle w:val="ListParagraph"/>
        <w:numPr>
          <w:ilvl w:val="0"/>
          <w:numId w:val="3"/>
        </w:numPr>
      </w:pPr>
      <w:r>
        <w:t xml:space="preserve">Charge pattern analysis with statistical outlier detection (z-score based)</w:t>
      </w:r>
    </w:p>
    <w:p>
      <w:pPr>
        <w:pStyle w:val="ListParagraph"/>
        <w:numPr>
          <w:ilvl w:val="0"/>
          <w:numId w:val="3"/>
        </w:numPr>
      </w:pPr>
      <w:r>
        <w:t xml:space="preserve">Under/over-payment detection against contracted rates</w:t>
      </w:r>
    </w:p>
    <w:p>
      <w:pPr>
        <w:pStyle w:val="ListParagraph"/>
        <w:numPr>
          <w:ilvl w:val="0"/>
          <w:numId w:val="3"/>
        </w:numPr>
      </w:pPr>
      <w:r>
        <w:t xml:space="preserve">Provider billing pattern benchmarking against specialty norms</w:t>
      </w:r>
    </w:p>
    <w:p>
      <w:pPr>
        <w:pStyle w:val="ListParagraph"/>
        <w:numPr>
          <w:ilvl w:val="0"/>
          <w:numId w:val="3"/>
        </w:numPr>
      </w:pPr>
      <w:r>
        <w:t xml:space="preserve">Real-time alerting with configurable severity thresholds</w:t>
      </w:r>
    </w:p>
    <w:p>
      <w:pPr>
        <w:spacing w:after="240"/>
      </w:pPr>
      <w:r>
        <w:t xml:space="preserve"/>
      </w:r>
    </w:p>
    <w:p>
      <w:pPr>
        <w:pStyle w:val="Heading1"/>
      </w:pPr>
      <w:r>
        <w:t xml:space="preserve">Security Operations Center</w:t>
      </w:r>
    </w:p>
    <w:p>
      <w:r>
        <w:t xml:space="preserve">The Security Operations Center (SecOps) provides comprehensive authentication, authorization, threat detection, and incident response capabilities to protect sensitive healthcare data and maintain platform integrity.</w:t>
      </w:r>
    </w:p>
    <w:p>
      <w:pPr>
        <w:spacing w:after="180"/>
      </w:pPr>
      <w:r>
        <w:t xml:space="preserve"/>
      </w:r>
    </w:p>
    <w:p>
      <w:pPr>
        <w:pStyle w:val="Heading2"/>
      </w:pPr>
      <w:r>
        <w:t xml:space="preserve">Authentication &amp; Identity</w:t>
      </w:r>
    </w:p>
    <w:p>
      <w:pPr>
        <w:pStyle w:val="ListParagraph"/>
        <w:numPr>
          <w:ilvl w:val="0"/>
          <w:numId w:val="3"/>
        </w:numPr>
      </w:pPr>
      <w:r>
        <w:t xml:space="preserve">OAuth 2.0 + OIDC with PKCE flow for SPAs</w:t>
      </w:r>
    </w:p>
    <w:p>
      <w:pPr>
        <w:pStyle w:val="ListParagraph"/>
        <w:numPr>
          <w:ilvl w:val="0"/>
          <w:numId w:val="3"/>
        </w:numPr>
      </w:pPr>
      <w:r>
        <w:t xml:space="preserve">MFA enforcement policies (TOTP, WebAuthn, SMS fallback)</w:t>
      </w:r>
    </w:p>
    <w:p>
      <w:pPr>
        <w:pStyle w:val="ListParagraph"/>
        <w:numPr>
          <w:ilvl w:val="0"/>
          <w:numId w:val="3"/>
        </w:numPr>
      </w:pPr>
      <w:r>
        <w:t xml:space="preserve">SSO integration with major identity providers (Okta, Azure AD, Google Workspace)</w:t>
      </w:r>
    </w:p>
    <w:p>
      <w:pPr>
        <w:pStyle w:val="ListParagraph"/>
        <w:numPr>
          <w:ilvl w:val="0"/>
          <w:numId w:val="3"/>
        </w:numPr>
      </w:pPr>
      <w:r>
        <w:t xml:space="preserve">Session management: configurable timeout (15-120 min), concurrent session limits, forced logout capability</w:t>
      </w:r>
    </w:p>
    <w:p>
      <w:pPr>
        <w:pStyle w:val="ListParagraph"/>
        <w:numPr>
          <w:ilvl w:val="0"/>
          <w:numId w:val="3"/>
        </w:numPr>
      </w:pPr>
      <w:r>
        <w:t xml:space="preserve">Password policies: minimum 12 chars, complexity requirements, breach database checking (HaveIBeenPwned API)</w:t>
      </w:r>
    </w:p>
    <w:p>
      <w:pPr>
        <w:spacing w:after="180"/>
      </w:pPr>
      <w:r>
        <w:t xml:space="preserve"/>
      </w:r>
    </w:p>
    <w:p>
      <w:pPr>
        <w:pStyle w:val="Heading2"/>
      </w:pPr>
      <w:r>
        <w:t xml:space="preserve">Role-Based Access Control (RBAC)</w:t>
      </w:r>
    </w:p>
    <w:p>
      <w:r>
        <w:t xml:space="preserve">Three primary roles with granular permissions matrix:</w:t>
      </w:r>
    </w:p>
    <w:p>
      <w:pPr>
        <w:pStyle w:val="ListParagraph"/>
        <w:numPr>
          <w:ilvl w:val="0"/>
          <w:numId w:val="3"/>
        </w:numPr>
      </w:pPr>
      <w:r>
        <w:t xml:space="preserve">Provider Staff: View/submit claims, create auth requests, send messages, verify eligibility</w:t>
      </w:r>
    </w:p>
    <w:p>
      <w:pPr>
        <w:pStyle w:val="ListParagraph"/>
        <w:numPr>
          <w:ilvl w:val="0"/>
          <w:numId w:val="3"/>
        </w:numPr>
      </w:pPr>
      <w:r>
        <w:t xml:space="preserve">Practice Admin: All provider staff + analytics, contracts, user management, guardrails, security dashboard, growth tools</w:t>
      </w:r>
    </w:p>
    <w:p>
      <w:pPr>
        <w:pStyle w:val="ListParagraph"/>
        <w:numPr>
          <w:ilvl w:val="0"/>
          <w:numId w:val="3"/>
        </w:numPr>
      </w:pPr>
      <w:r>
        <w:t xml:space="preserve">Insurance Rep: Review claims, adjudicate authorizations, respond to messages, view compliance</w:t>
      </w:r>
    </w:p>
    <w:p>
      <w:pPr>
        <w:spacing w:after="120"/>
      </w:pPr>
      <w:r>
        <w:t xml:space="preserve"/>
      </w:r>
    </w:p>
    <w:p>
      <w:r>
        <w:t xml:space="preserve">Additional capabilities: Custom role builder for enterprise clients, Attribute-based access control (ABAC) for PHI data (minimum necessary standard enforcement).</w:t>
      </w:r>
    </w:p>
    <w:p>
      <w:pPr>
        <w:spacing w:after="180"/>
      </w:pPr>
      <w:r>
        <w:t xml:space="preserve"/>
      </w:r>
    </w:p>
    <w:p>
      <w:pPr>
        <w:pStyle w:val="Heading2"/>
      </w:pPr>
      <w:r>
        <w:t xml:space="preserve">Threat Detection &amp; Response</w:t>
      </w:r>
    </w:p>
    <w:p>
      <w:pPr>
        <w:pStyle w:val="ListParagraph"/>
        <w:numPr>
          <w:ilvl w:val="0"/>
          <w:numId w:val="3"/>
        </w:numPr>
      </w:pPr>
      <w:r>
        <w:t xml:space="preserve">Real-time API anomaly detection using baseline behavioral analysis</w:t>
      </w:r>
    </w:p>
    <w:p>
      <w:pPr>
        <w:pStyle w:val="ListParagraph"/>
        <w:numPr>
          <w:ilvl w:val="0"/>
          <w:numId w:val="3"/>
        </w:numPr>
      </w:pPr>
      <w:r>
        <w:t xml:space="preserve">Automated IP blocking for brute force attempts (&gt; 5 failed logins in 5 min)</w:t>
      </w:r>
    </w:p>
    <w:p>
      <w:pPr>
        <w:pStyle w:val="ListParagraph"/>
        <w:numPr>
          <w:ilvl w:val="0"/>
          <w:numId w:val="3"/>
        </w:numPr>
      </w:pPr>
      <w:r>
        <w:t xml:space="preserve">Data exfiltration prevention: alerts on bulk record access, export limits</w:t>
      </w:r>
    </w:p>
    <w:p>
      <w:pPr>
        <w:pStyle w:val="ListParagraph"/>
        <w:numPr>
          <w:ilvl w:val="0"/>
          <w:numId w:val="3"/>
        </w:numPr>
      </w:pPr>
      <w:r>
        <w:t xml:space="preserve">DDoS protection via AWS Shield Advanced + CloudFront WAF rules</w:t>
      </w:r>
    </w:p>
    <w:p>
      <w:pPr>
        <w:pStyle w:val="ListParagraph"/>
        <w:numPr>
          <w:ilvl w:val="0"/>
          <w:numId w:val="3"/>
        </w:numPr>
      </w:pPr>
      <w:r>
        <w:t xml:space="preserve">Incident response playbook integration with PagerDuty</w:t>
      </w:r>
    </w:p>
    <w:p>
      <w:pPr>
        <w:spacing w:after="180"/>
      </w:pPr>
      <w:r>
        <w:t xml:space="preserve"/>
      </w:r>
    </w:p>
    <w:p>
      <w:pPr>
        <w:pStyle w:val="Heading2"/>
      </w:pPr>
      <w:r>
        <w:t xml:space="preserve">Audit &amp; Forensics</w:t>
      </w:r>
    </w:p>
    <w:p>
      <w:pPr>
        <w:pStyle w:val="ListParagraph"/>
        <w:numPr>
          <w:ilvl w:val="0"/>
          <w:numId w:val="3"/>
        </w:numPr>
      </w:pPr>
      <w:r>
        <w:t xml:space="preserve">Immutable audit log (append-only with cryptographic chaining)</w:t>
      </w:r>
    </w:p>
    <w:p>
      <w:pPr>
        <w:pStyle w:val="ListParagraph"/>
        <w:numPr>
          <w:ilvl w:val="0"/>
          <w:numId w:val="3"/>
        </w:numPr>
      </w:pPr>
      <w:r>
        <w:t xml:space="preserve">Log retention: 7 years for HIPAA compliance</w:t>
      </w:r>
    </w:p>
    <w:p>
      <w:pPr>
        <w:pStyle w:val="ListParagraph"/>
        <w:numPr>
          <w:ilvl w:val="0"/>
          <w:numId w:val="3"/>
        </w:numPr>
      </w:pPr>
      <w:r>
        <w:t xml:space="preserve">Searchable audit trail with correlation IDs</w:t>
      </w:r>
    </w:p>
    <w:p>
      <w:pPr>
        <w:pStyle w:val="ListParagraph"/>
        <w:numPr>
          <w:ilvl w:val="0"/>
          <w:numId w:val="3"/>
        </w:numPr>
      </w:pPr>
      <w:r>
        <w:t xml:space="preserve">Automated compliance report generation (monthly/quarterly)</w:t>
      </w:r>
    </w:p>
    <w:p>
      <w:pPr>
        <w:pStyle w:val="ListParagraph"/>
        <w:numPr>
          <w:ilvl w:val="0"/>
          <w:numId w:val="3"/>
        </w:numPr>
      </w:pPr>
      <w:r>
        <w:t xml:space="preserve">Integration with SIEM platforms (Splunk, Datadog Security)</w:t>
      </w:r>
    </w:p>
    <w:p>
      <w:pPr>
        <w:spacing w:after="180"/>
      </w:pPr>
      <w:r>
        <w:t xml:space="preserve"/>
      </w:r>
    </w:p>
    <w:p>
      <w:pPr>
        <w:pStyle w:val="Heading3"/>
      </w:pPr>
      <w:r>
        <w:t xml:space="preserve">Security Operations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06B6D4" w:val="clear"/>
            <w:tcMar>
              <w:top w:type="dxa" w:w="80"/>
              <w:left w:type="dxa" w:w="120"/>
              <w:bottom w:type="dxa" w:w="80"/>
              <w:right w:type="dxa" w:w="120"/>
            </w:tcMar>
          </w:tcPr>
          <w:p>
            <w:r>
              <w:rPr>
                <w:b/>
                <w:bCs/>
                <w:color w:val="FFFFFF"/>
                <w:sz w:val="20"/>
                <w:szCs w:val="20"/>
              </w:rPr>
              <w:t xml:space="preserve">Method</w:t>
            </w:r>
          </w:p>
        </w:tc>
        <w:tc>
          <w:tcPr>
            <w:tcW w:type="dxa" w:w="3930"/>
            <w:tcBorders>
              <w:top w:val="single" w:color="CCCCCC" w:sz="1"/>
              <w:left w:val="single" w:color="CCCCCC" w:sz="1"/>
              <w:bottom w:val="single" w:color="CCCCCC" w:sz="1"/>
              <w:right w:val="single" w:color="CCCCCC" w:sz="1"/>
            </w:tcBorders>
            <w:shd w:fill="06B6D4" w:val="clear"/>
            <w:tcMar>
              <w:top w:type="dxa" w:w="80"/>
              <w:left w:type="dxa" w:w="120"/>
              <w:bottom w:type="dxa" w:w="80"/>
              <w:right w:type="dxa" w:w="120"/>
            </w:tcMar>
          </w:tcPr>
          <w:p>
            <w:r>
              <w:rPr>
                <w:b/>
                <w:bCs/>
                <w:color w:val="FFFFFF"/>
                <w:sz w:val="20"/>
                <w:szCs w:val="20"/>
              </w:rPr>
              <w:t xml:space="preserve">Endpoint</w:t>
            </w:r>
          </w:p>
        </w:tc>
        <w:tc>
          <w:tcPr>
            <w:tcW w:type="dxa" w:w="3930"/>
            <w:tcBorders>
              <w:top w:val="single" w:color="CCCCCC" w:sz="1"/>
              <w:left w:val="single" w:color="CCCCCC" w:sz="1"/>
              <w:bottom w:val="single" w:color="CCCCCC" w:sz="1"/>
              <w:right w:val="single" w:color="CCCCCC" w:sz="1"/>
            </w:tcBorders>
            <w:shd w:fill="06B6D4" w:val="clear"/>
            <w:tcMar>
              <w:top w:type="dxa" w:w="80"/>
              <w:left w:type="dxa" w:w="120"/>
              <w:bottom w:type="dxa" w:w="80"/>
              <w:right w:type="dxa" w:w="120"/>
            </w:tcMar>
          </w:tcPr>
          <w:p>
            <w:r>
              <w:rPr>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GET</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/api/v1/security/audit-log</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Query audit events</w:t>
            </w:r>
          </w:p>
        </w:tc>
      </w:tr>
      <w:tr>
        <w:tc>
          <w:tcPr>
            <w:tcW w:type="dxa" w:w="15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GET</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/api/v1/security/active-sessions</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List active user sessions</w:t>
            </w:r>
          </w:p>
        </w:tc>
      </w:tr>
      <w:tr>
        <w:tc>
          <w:tcPr>
            <w:tcW w:type="dxa" w:w="15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DELETE</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/api/v1/security/sessions/{id}</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Revoke session</w:t>
            </w:r>
          </w:p>
        </w:tc>
      </w:tr>
      <w:tr>
        <w:tc>
          <w:tcPr>
            <w:tcW w:type="dxa" w:w="15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GET</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/api/v1/security/threats</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List active threat alerts</w:t>
            </w:r>
          </w:p>
        </w:tc>
      </w:tr>
      <w:tr>
        <w:tc>
          <w:tcPr>
            <w:tcW w:type="dxa" w:w="15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POST</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/api/v1/security/ip-blocklist</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Add IP to blocklist</w:t>
            </w:r>
          </w:p>
        </w:tc>
      </w:tr>
      <w:tr>
        <w:tc>
          <w:tcPr>
            <w:tcW w:type="dxa" w:w="15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GET</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/api/v1/security/access-matrix</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Get role permissions matrix</w:t>
            </w:r>
          </w:p>
        </w:tc>
      </w:tr>
    </w:tbl>
    <w:p>
      <w:pPr>
        <w:spacing w:after="240"/>
      </w:pPr>
      <w:r>
        <w:t xml:space="preserve"/>
      </w:r>
    </w:p>
    <w:p>
      <w:pPr>
        <w:pStyle w:val="Heading1"/>
      </w:pPr>
      <w:r>
        <w:t xml:space="preserve">Marketing &amp; Growth Engine</w:t>
      </w:r>
    </w:p>
    <w:p>
      <w:r>
        <w:t xml:space="preserve">The Marketing &amp; Growth Engine drives customer acquisition, engagement, and expansion through data-driven tools, analytics, and automated workflows designed for the healthcare B2B SaaS market.</w:t>
      </w:r>
    </w:p>
    <w:p>
      <w:pPr>
        <w:spacing w:after="180"/>
      </w:pPr>
      <w:r>
        <w:t xml:space="preserve"/>
      </w:r>
    </w:p>
    <w:p>
      <w:pPr>
        <w:pStyle w:val="Heading2"/>
      </w:pPr>
      <w:r>
        <w:t xml:space="preserve">Provider Acquisition Platform</w:t>
      </w:r>
    </w:p>
    <w:p>
      <w:pPr>
        <w:pStyle w:val="ListParagraph"/>
        <w:numPr>
          <w:ilvl w:val="0"/>
          <w:numId w:val="3"/>
        </w:numPr>
      </w:pPr>
      <w:r>
        <w:t xml:space="preserve">Built-in lead management with pipeline stages: Lead &amp;#x2192; Demo &amp;#x2192; Trial &amp;#x2192; Convert &amp;#x2192; Onboard</w:t>
      </w:r>
    </w:p>
    <w:p>
      <w:pPr>
        <w:pStyle w:val="ListParagraph"/>
        <w:numPr>
          <w:ilvl w:val="0"/>
          <w:numId w:val="3"/>
        </w:numPr>
      </w:pPr>
      <w:r>
        <w:t xml:space="preserve">Embeddable ROI calculator widget for provider websites</w:t>
      </w:r>
    </w:p>
    <w:p>
      <w:pPr>
        <w:pStyle w:val="ListParagraph"/>
        <w:numPr>
          <w:ilvl w:val="0"/>
          <w:numId w:val="3"/>
        </w:numPr>
      </w:pPr>
      <w:r>
        <w:t xml:space="preserve">Automated demo scheduling with calendar integration</w:t>
      </w:r>
    </w:p>
    <w:p>
      <w:pPr>
        <w:pStyle w:val="ListParagraph"/>
        <w:numPr>
          <w:ilvl w:val="0"/>
          <w:numId w:val="3"/>
        </w:numPr>
      </w:pPr>
      <w:r>
        <w:t xml:space="preserve">Referral tracking system with incentive management</w:t>
      </w:r>
    </w:p>
    <w:p>
      <w:pPr>
        <w:pStyle w:val="ListParagraph"/>
        <w:numPr>
          <w:ilvl w:val="0"/>
          <w:numId w:val="3"/>
        </w:numPr>
      </w:pPr>
      <w:r>
        <w:t xml:space="preserve">Landing page builder for campaign-specific offers</w:t>
      </w:r>
    </w:p>
    <w:p>
      <w:pPr>
        <w:spacing w:after="180"/>
      </w:pPr>
      <w:r>
        <w:t xml:space="preserve"/>
      </w:r>
    </w:p>
    <w:p>
      <w:pPr>
        <w:pStyle w:val="Heading2"/>
      </w:pPr>
      <w:r>
        <w:t xml:space="preserve">In-App Growth &amp; Engagement</w:t>
      </w:r>
    </w:p>
    <w:p>
      <w:pPr>
        <w:pStyle w:val="ListParagraph"/>
        <w:numPr>
          <w:ilvl w:val="0"/>
          <w:numId w:val="3"/>
        </w:numPr>
      </w:pPr>
      <w:r>
        <w:t xml:space="preserve">Feature adoption analytics per module per customer</w:t>
      </w:r>
    </w:p>
    <w:p>
      <w:pPr>
        <w:pStyle w:val="ListParagraph"/>
        <w:numPr>
          <w:ilvl w:val="0"/>
          <w:numId w:val="3"/>
        </w:numPr>
      </w:pPr>
      <w:r>
        <w:t xml:space="preserve">NPS survey engine with automated delivery and analysis</w:t>
      </w:r>
    </w:p>
    <w:p>
      <w:pPr>
        <w:pStyle w:val="ListParagraph"/>
        <w:numPr>
          <w:ilvl w:val="0"/>
          <w:numId w:val="3"/>
        </w:numPr>
      </w:pPr>
      <w:r>
        <w:t xml:space="preserve">In-app messaging system for campaigns (banners, modals, tooltips)</w:t>
      </w:r>
    </w:p>
    <w:p>
      <w:pPr>
        <w:pStyle w:val="ListParagraph"/>
        <w:numPr>
          <w:ilvl w:val="0"/>
          <w:numId w:val="3"/>
        </w:numPr>
      </w:pPr>
      <w:r>
        <w:t xml:space="preserve">Upsell intelligence: identify accounts ready for tier upgrade based on usage patterns</w:t>
      </w:r>
    </w:p>
    <w:p>
      <w:pPr>
        <w:pStyle w:val="ListParagraph"/>
        <w:numPr>
          <w:ilvl w:val="0"/>
          <w:numId w:val="3"/>
        </w:numPr>
      </w:pPr>
      <w:r>
        <w:t xml:space="preserve">Churn prediction model using engagement signals (login frequency, feature breadth, support tickets)</w:t>
      </w:r>
    </w:p>
    <w:p>
      <w:pPr>
        <w:spacing w:after="180"/>
      </w:pPr>
      <w:r>
        <w:t xml:space="preserve"/>
      </w:r>
    </w:p>
    <w:p>
      <w:pPr>
        <w:pStyle w:val="Heading2"/>
      </w:pPr>
      <w:r>
        <w:t xml:space="preserve">Payer Network Expansion</w:t>
      </w:r>
    </w:p>
    <w:p>
      <w:pPr>
        <w:pStyle w:val="ListParagraph"/>
        <w:numPr>
          <w:ilvl w:val="0"/>
          <w:numId w:val="3"/>
        </w:numPr>
      </w:pPr>
      <w:r>
        <w:t xml:space="preserve">Payer onboarding portal with self-service integration setup</w:t>
      </w:r>
    </w:p>
    <w:p>
      <w:pPr>
        <w:pStyle w:val="ListParagraph"/>
        <w:numPr>
          <w:ilvl w:val="0"/>
          <w:numId w:val="3"/>
        </w:numPr>
      </w:pPr>
      <w:r>
        <w:t xml:space="preserve">Network coverage visualization (geographic heat maps)</w:t>
      </w:r>
    </w:p>
    <w:p>
      <w:pPr>
        <w:pStyle w:val="ListParagraph"/>
        <w:numPr>
          <w:ilvl w:val="0"/>
          <w:numId w:val="3"/>
        </w:numPr>
      </w:pPr>
      <w:r>
        <w:t xml:space="preserve">Payer satisfaction scoring based on provider feedback and transaction metrics</w:t>
      </w:r>
    </w:p>
    <w:p>
      <w:pPr>
        <w:pStyle w:val="ListParagraph"/>
        <w:numPr>
          <w:ilvl w:val="0"/>
          <w:numId w:val="3"/>
        </w:numPr>
      </w:pPr>
      <w:r>
        <w:t xml:space="preserve">Partnership pipeline management with stage tracking</w:t>
      </w:r>
    </w:p>
    <w:p>
      <w:pPr>
        <w:pStyle w:val="ListParagraph"/>
        <w:numPr>
          <w:ilvl w:val="0"/>
          <w:numId w:val="3"/>
        </w:numPr>
      </w:pPr>
      <w:r>
        <w:t xml:space="preserve">Automated payer performance reporting</w:t>
      </w:r>
    </w:p>
    <w:p>
      <w:pPr>
        <w:spacing w:after="180"/>
      </w:pPr>
      <w:r>
        <w:t xml:space="preserve"/>
      </w:r>
    </w:p>
    <w:p>
      <w:pPr>
        <w:pStyle w:val="Heading2"/>
      </w:pPr>
      <w:r>
        <w:t xml:space="preserve">Growth Analytics</w:t>
      </w:r>
    </w:p>
    <w:p>
      <w:pPr>
        <w:pStyle w:val="ListParagraph"/>
        <w:numPr>
          <w:ilvl w:val="0"/>
          <w:numId w:val="3"/>
        </w:numPr>
      </w:pPr>
      <w:r>
        <w:t xml:space="preserve">Cohort analysis for customer retention</w:t>
      </w:r>
    </w:p>
    <w:p>
      <w:pPr>
        <w:pStyle w:val="ListParagraph"/>
        <w:numPr>
          <w:ilvl w:val="0"/>
          <w:numId w:val="3"/>
        </w:numPr>
      </w:pPr>
      <w:r>
        <w:t xml:space="preserve">Revenue expansion tracking (net dollar retention)</w:t>
      </w:r>
    </w:p>
    <w:p>
      <w:pPr>
        <w:pStyle w:val="ListParagraph"/>
        <w:numPr>
          <w:ilvl w:val="0"/>
          <w:numId w:val="3"/>
        </w:numPr>
      </w:pPr>
      <w:r>
        <w:t xml:space="preserve">Channel attribution modeling</w:t>
      </w:r>
    </w:p>
    <w:p>
      <w:pPr>
        <w:pStyle w:val="ListParagraph"/>
        <w:numPr>
          <w:ilvl w:val="0"/>
          <w:numId w:val="3"/>
        </w:numPr>
      </w:pPr>
      <w:r>
        <w:t xml:space="preserve">Customer health scoring (weighted: feature adoption 30%, payment history 20%, support engagement 20%, NPS 15%, growth rate 15%)</w:t>
      </w:r>
    </w:p>
    <w:p>
      <w:pPr>
        <w:spacing w:after="180"/>
      </w:pPr>
      <w:r>
        <w:t xml:space="preserve"/>
      </w:r>
    </w:p>
    <w:p>
      <w:pPr>
        <w:pStyle w:val="Heading3"/>
      </w:pPr>
      <w:r>
        <w:t xml:space="preserve">Marketing &amp; Growth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06B6D4" w:val="clear"/>
            <w:tcMar>
              <w:top w:type="dxa" w:w="80"/>
              <w:left w:type="dxa" w:w="120"/>
              <w:bottom w:type="dxa" w:w="80"/>
              <w:right w:type="dxa" w:w="120"/>
            </w:tcMar>
          </w:tcPr>
          <w:p>
            <w:r>
              <w:rPr>
                <w:b/>
                <w:bCs/>
                <w:color w:val="FFFFFF"/>
                <w:sz w:val="20"/>
                <w:szCs w:val="20"/>
              </w:rPr>
              <w:t xml:space="preserve">Method</w:t>
            </w:r>
          </w:p>
        </w:tc>
        <w:tc>
          <w:tcPr>
            <w:tcW w:type="dxa" w:w="3930"/>
            <w:tcBorders>
              <w:top w:val="single" w:color="CCCCCC" w:sz="1"/>
              <w:left w:val="single" w:color="CCCCCC" w:sz="1"/>
              <w:bottom w:val="single" w:color="CCCCCC" w:sz="1"/>
              <w:right w:val="single" w:color="CCCCCC" w:sz="1"/>
            </w:tcBorders>
            <w:shd w:fill="06B6D4" w:val="clear"/>
            <w:tcMar>
              <w:top w:type="dxa" w:w="80"/>
              <w:left w:type="dxa" w:w="120"/>
              <w:bottom w:type="dxa" w:w="80"/>
              <w:right w:type="dxa" w:w="120"/>
            </w:tcMar>
          </w:tcPr>
          <w:p>
            <w:r>
              <w:rPr>
                <w:b/>
                <w:bCs/>
                <w:color w:val="FFFFFF"/>
                <w:sz w:val="20"/>
                <w:szCs w:val="20"/>
              </w:rPr>
              <w:t xml:space="preserve">Endpoint</w:t>
            </w:r>
          </w:p>
        </w:tc>
        <w:tc>
          <w:tcPr>
            <w:tcW w:type="dxa" w:w="3930"/>
            <w:tcBorders>
              <w:top w:val="single" w:color="CCCCCC" w:sz="1"/>
              <w:left w:val="single" w:color="CCCCCC" w:sz="1"/>
              <w:bottom w:val="single" w:color="CCCCCC" w:sz="1"/>
              <w:right w:val="single" w:color="CCCCCC" w:sz="1"/>
            </w:tcBorders>
            <w:shd w:fill="06B6D4" w:val="clear"/>
            <w:tcMar>
              <w:top w:type="dxa" w:w="80"/>
              <w:left w:type="dxa" w:w="120"/>
              <w:bottom w:type="dxa" w:w="80"/>
              <w:right w:type="dxa" w:w="120"/>
            </w:tcMar>
          </w:tcPr>
          <w:p>
            <w:r>
              <w:rPr>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GET</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/api/v1/growth/pipeline</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Get acquisition pipeline metrics</w:t>
            </w:r>
          </w:p>
        </w:tc>
      </w:tr>
      <w:tr>
        <w:tc>
          <w:tcPr>
            <w:tcW w:type="dxa" w:w="15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GET</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/api/v1/growth/adoption</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Feature adoption by customer</w:t>
            </w:r>
          </w:p>
        </w:tc>
      </w:tr>
      <w:tr>
        <w:tc>
          <w:tcPr>
            <w:tcW w:type="dxa" w:w="15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POST</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/api/v1/growth/campaigns</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Create in-app campaign</w:t>
            </w:r>
          </w:p>
        </w:tc>
      </w:tr>
      <w:tr>
        <w:tc>
          <w:tcPr>
            <w:tcW w:type="dxa" w:w="15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GET</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/api/v1/growth/nps</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Get NPS scores and trends</w:t>
            </w:r>
          </w:p>
        </w:tc>
      </w:tr>
      <w:tr>
        <w:tc>
          <w:tcPr>
            <w:tcW w:type="dxa" w:w="15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GET</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/api/v1/growth/payer-network</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Network coverage data</w:t>
            </w:r>
          </w:p>
        </w:tc>
      </w:tr>
      <w:tr>
        <w:tc>
          <w:tcPr>
            <w:tcW w:type="dxa" w:w="15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GET</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/api/v1/growth/health-scores</w:t>
            </w:r>
          </w:p>
        </w:tc>
        <w:tc>
          <w:tcPr>
            <w:tcW w:type="dxa" w:w="393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sz w:val="18"/>
                <w:szCs w:val="18"/>
              </w:rPr>
              <w:t xml:space="preserve">Customer health scores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rPr>
        <w:color w:val="1E293B"/>
        <w:sz w:val="18"/>
        <w:szCs w:val="18"/>
      </w:rPr>
      <w:t xml:space="preserve">Confidential &amp;#x2013; Athena Core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293B"/>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06B6D4"/>
      <w:sz w:val="28"/>
      <w:szCs w:val="28"/>
    </w:rPr>
  </w:style>
  <w:style w:type="paragraph" w:styleId="Heading3">
    <w:name w:val="Heading 3"/>
    <w:basedOn w:val="Normal"/>
    <w:next w:val="Normal"/>
    <w:qFormat/>
    <w:pPr>
      <w:spacing w:after="60" w:before="1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2026-04-12T21:44:42.674Z</dcterms:created>
  <dcterms:modified xsi:type="dcterms:W3CDTF">2026-04-12T21:44:42.675Z</dcterms:modified>
</cp:coreProperties>
</file>

<file path=docProps/custom.xml><?xml version="1.0" encoding="utf-8"?>
<Properties xmlns="http://schemas.openxmlformats.org/officeDocument/2006/custom-properties" xmlns:vt="http://schemas.openxmlformats.org/officeDocument/2006/docPropsVTypes"/>
</file>