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before="240" w:after="120"/>
        <w:rPr>
          <w:rFonts w:ascii="Sans-serif" w:hAnsi="Sans-serif"/>
        </w:rPr>
      </w:pPr>
      <w:r>
        <w:rPr>
          <w:rFonts w:ascii="Sans-serif" w:hAnsi="Sans-serif"/>
        </w:rPr>
        <w:t>CSCB63: Design and Analysis of Data Structures</w:t>
      </w:r>
    </w:p>
    <w:p>
      <w:pPr>
        <w:pStyle w:val="Heading1"/>
        <w:numPr>
          <w:ilvl w:val="0"/>
          <w:numId w:val="3"/>
        </w:numPr>
        <w:spacing w:lineRule="auto" w:line="276"/>
        <w:rPr>
          <w:rFonts w:ascii="Sans-serif" w:hAnsi="Sans-serif"/>
        </w:rPr>
      </w:pPr>
      <w:r>
        <w:rPr>
          <w:rFonts w:ascii="Sans-serif" w:hAnsi="Sans-serif"/>
        </w:rPr>
        <w:t>Course Description</w:t>
      </w:r>
    </w:p>
    <w:p>
      <w:pPr>
        <w:pStyle w:val="TextBody"/>
        <w:spacing w:lineRule="auto" w:line="276"/>
        <w:rPr>
          <w:rFonts w:ascii="Sans-serif" w:hAnsi="Sans-serif"/>
          <w:sz w:val="24"/>
          <w:szCs w:val="24"/>
        </w:rPr>
      </w:pPr>
      <w:r>
        <w:rPr>
          <w:rFonts w:ascii="Sans-serif" w:hAnsi="Sans-serif"/>
          <w:b w:val="false"/>
          <w:i w:val="false"/>
          <w:caps w:val="false"/>
          <w:smallCaps w:val="false"/>
          <w:color w:val="000000"/>
          <w:spacing w:val="0"/>
          <w:sz w:val="24"/>
          <w:szCs w:val="24"/>
        </w:rPr>
        <w:t>Design, analysis, implementation and comparison of efficient data structures for common abstract data types. Priority queues: heaps and mergeable heaps. Dictionaries: balanced binary search trees, B-trees, hashing. Amortization: data structures for managing dynamic tables and disjoint sets. Data structures for representing graphs. Graph searches.</w:t>
      </w:r>
      <w:r>
        <w:rPr>
          <w:rFonts w:ascii="Sans-serif" w:hAnsi="Sans-serif"/>
          <w:sz w:val="24"/>
          <w:szCs w:val="24"/>
        </w:rPr>
        <w:t xml:space="preserve"> </w:t>
      </w:r>
    </w:p>
    <w:p>
      <w:pPr>
        <w:pStyle w:val="TextBody"/>
        <w:spacing w:lineRule="auto" w:line="276"/>
        <w:rPr>
          <w:rFonts w:ascii="Sans-serif" w:hAnsi="Sans-serif"/>
        </w:rPr>
      </w:pPr>
      <w:r>
        <w:rPr>
          <w:rFonts w:ascii="Sans-serif" w:hAnsi="Sans-serif"/>
        </w:rPr>
        <w:t>Exclusion: CSC263H, CSC265H, (CSCC78H)</w:t>
      </w:r>
    </w:p>
    <w:p>
      <w:pPr>
        <w:pStyle w:val="TextBody"/>
        <w:spacing w:lineRule="auto" w:line="276"/>
        <w:rPr>
          <w:rFonts w:ascii="Sans-serif" w:hAnsi="Sans-serif"/>
        </w:rPr>
      </w:pPr>
      <w:r>
        <w:rPr>
          <w:rFonts w:ascii="Sans-serif" w:hAnsi="Sans-serif"/>
        </w:rPr>
        <w:t>Prerequisite: CSCB36 or (CSCB38H) &amp; [cGPA of 2.75 or enrollment in a CSC subject POSt]</w:t>
      </w:r>
    </w:p>
    <w:p>
      <w:pPr>
        <w:pStyle w:val="Heading1"/>
        <w:numPr>
          <w:ilvl w:val="0"/>
          <w:numId w:val="3"/>
        </w:numPr>
        <w:spacing w:lineRule="auto" w:line="276"/>
        <w:rPr>
          <w:rFonts w:ascii="Sans-serif" w:hAnsi="Sans-serif"/>
        </w:rPr>
      </w:pPr>
      <w:r>
        <w:rPr>
          <w:rFonts w:ascii="Sans-serif" w:hAnsi="Sans-serif"/>
        </w:rPr>
        <w:t>General Information</w:t>
      </w:r>
    </w:p>
    <w:p>
      <w:pPr>
        <w:pStyle w:val="TextBody"/>
        <w:spacing w:lineRule="auto" w:line="276"/>
        <w:rPr>
          <w:rFonts w:ascii="Sans-serif" w:hAnsi="Sans-serif"/>
        </w:rPr>
      </w:pPr>
      <w:r>
        <w:rPr>
          <w:rFonts w:ascii="Sans-serif" w:hAnsi="Sans-serif"/>
        </w:rPr>
        <w:t>Instructor: Dr. Anna Bretscher</w:t>
      </w:r>
    </w:p>
    <w:p>
      <w:pPr>
        <w:pStyle w:val="TextBody"/>
        <w:spacing w:lineRule="auto" w:line="276"/>
        <w:rPr>
          <w:rFonts w:ascii="Sans-serif" w:hAnsi="Sans-serif"/>
        </w:rPr>
      </w:pPr>
      <w:r>
        <w:rPr>
          <w:rFonts w:ascii="Sans-serif" w:hAnsi="Sans-serif"/>
        </w:rPr>
        <w:t>Email: anna.bretscher@utoronto.ca</w:t>
      </w:r>
    </w:p>
    <w:p>
      <w:pPr>
        <w:pStyle w:val="TextBody"/>
        <w:spacing w:lineRule="auto" w:line="276"/>
        <w:rPr>
          <w:rFonts w:ascii="Sans-serif" w:hAnsi="Sans-serif"/>
        </w:rPr>
      </w:pPr>
      <w:r>
        <w:rPr>
          <w:rFonts w:ascii="Sans-serif" w:hAnsi="Sans-serif"/>
        </w:rPr>
        <w:t>Office: IC493</w:t>
      </w:r>
    </w:p>
    <w:p>
      <w:pPr>
        <w:pStyle w:val="TextBody"/>
        <w:spacing w:lineRule="auto" w:line="276"/>
        <w:rPr>
          <w:rFonts w:ascii="Sans-serif" w:hAnsi="Sans-serif"/>
        </w:rPr>
      </w:pPr>
      <w:r>
        <w:rPr>
          <w:rFonts w:ascii="Sans-serif" w:hAnsi="Sans-serif"/>
        </w:rPr>
        <w:t>Office Hours: Mondays 11:00-12:30, Friday 10:40-11:30 in office (Subject to change: check calendar)</w:t>
      </w:r>
    </w:p>
    <w:p>
      <w:pPr>
        <w:pStyle w:val="TextBody"/>
        <w:spacing w:lineRule="auto" w:line="276"/>
        <w:rPr>
          <w:rFonts w:ascii="Sans-serif" w:hAnsi="Sans-serif"/>
        </w:rPr>
      </w:pPr>
      <w:r>
        <w:rPr>
          <w:rFonts w:ascii="Sans-serif" w:hAnsi="Sans-serif"/>
        </w:rPr>
        <w:t>Lectures: Wednesdays 3-4 pm Thursdays 9:10-11 am</w:t>
      </w:r>
    </w:p>
    <w:p>
      <w:pPr>
        <w:pStyle w:val="Heading1"/>
        <w:numPr>
          <w:ilvl w:val="0"/>
          <w:numId w:val="2"/>
        </w:numPr>
        <w:rPr>
          <w:rFonts w:ascii="Sans-serif" w:hAnsi="Sans-serif"/>
        </w:rPr>
      </w:pPr>
      <w:r>
        <w:rPr>
          <w:rFonts w:ascii="Sans-serif" w:hAnsi="Sans-serif"/>
        </w:rPr>
        <w:t>Term Work</w:t>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2" w:space="0" w:color="000000"/>
              <w:left w:val="single" w:sz="2" w:space="0" w:color="000000"/>
              <w:bottom w:val="single" w:sz="2" w:space="0" w:color="000000"/>
            </w:tcBorders>
            <w:shd w:fill="auto" w:val="clear"/>
          </w:tcPr>
          <w:p>
            <w:pPr>
              <w:pStyle w:val="TableContents"/>
              <w:rPr>
                <w:rFonts w:ascii="Sans-serif" w:hAnsi="Sans-serif"/>
              </w:rPr>
            </w:pPr>
            <w:r>
              <w:rPr>
                <w:rFonts w:ascii="Sans-serif" w:hAnsi="Sans-serif"/>
              </w:rPr>
              <w:t>Work</w:t>
            </w:r>
          </w:p>
        </w:tc>
        <w:tc>
          <w:tcPr>
            <w:tcW w:w="4986" w:type="dxa"/>
            <w:tcBorders>
              <w:top w:val="single" w:sz="2" w:space="0" w:color="000000"/>
              <w:left w:val="single" w:sz="2" w:space="0" w:color="000000"/>
              <w:bottom w:val="single" w:sz="2" w:space="0" w:color="000000"/>
              <w:right w:val="single" w:sz="2" w:space="0" w:color="000000"/>
            </w:tcBorders>
            <w:shd w:fill="auto" w:val="clear"/>
          </w:tcPr>
          <w:p>
            <w:pPr>
              <w:pStyle w:val="TableContents"/>
              <w:rPr>
                <w:rFonts w:ascii="Sans-serif" w:hAnsi="Sans-serif"/>
              </w:rPr>
            </w:pPr>
            <w:r>
              <w:rPr>
                <w:rFonts w:ascii="Sans-serif" w:hAnsi="Sans-serif"/>
              </w:rPr>
              <w:t>Percentage</w:t>
            </w:r>
          </w:p>
        </w:tc>
      </w:tr>
      <w:tr>
        <w:trPr/>
        <w:tc>
          <w:tcPr>
            <w:tcW w:w="4985" w:type="dxa"/>
            <w:tcBorders>
              <w:left w:val="single" w:sz="2" w:space="0" w:color="000000"/>
              <w:bottom w:val="single" w:sz="2" w:space="0" w:color="000000"/>
            </w:tcBorders>
            <w:shd w:fill="auto" w:val="clear"/>
          </w:tcPr>
          <w:p>
            <w:pPr>
              <w:pStyle w:val="TableContents"/>
              <w:rPr>
                <w:rFonts w:ascii="Sans-serif" w:hAnsi="Sans-serif"/>
              </w:rPr>
            </w:pPr>
            <w:r>
              <w:rPr>
                <w:rFonts w:ascii="Sans-serif" w:hAnsi="Sans-serif"/>
              </w:rPr>
              <w:t>Assignments (4)</w:t>
            </w:r>
          </w:p>
        </w:tc>
        <w:tc>
          <w:tcPr>
            <w:tcW w:w="4986" w:type="dxa"/>
            <w:tcBorders>
              <w:left w:val="single" w:sz="2" w:space="0" w:color="000000"/>
              <w:bottom w:val="single" w:sz="2" w:space="0" w:color="000000"/>
              <w:right w:val="single" w:sz="2" w:space="0" w:color="000000"/>
            </w:tcBorders>
            <w:shd w:fill="auto" w:val="clear"/>
          </w:tcPr>
          <w:p>
            <w:pPr>
              <w:pStyle w:val="TableContents"/>
              <w:rPr>
                <w:rFonts w:ascii="Sans-serif" w:hAnsi="Sans-serif"/>
              </w:rPr>
            </w:pPr>
            <w:r>
              <w:rPr>
                <w:rFonts w:ascii="Sans-serif" w:hAnsi="Sans-serif"/>
              </w:rPr>
              <w:t>20% (5% each)</w:t>
            </w:r>
          </w:p>
        </w:tc>
      </w:tr>
      <w:tr>
        <w:trPr/>
        <w:tc>
          <w:tcPr>
            <w:tcW w:w="4985" w:type="dxa"/>
            <w:tcBorders>
              <w:left w:val="single" w:sz="2" w:space="0" w:color="000000"/>
              <w:bottom w:val="single" w:sz="2" w:space="0" w:color="000000"/>
            </w:tcBorders>
            <w:shd w:fill="auto" w:val="clear"/>
          </w:tcPr>
          <w:p>
            <w:pPr>
              <w:pStyle w:val="TableContents"/>
              <w:rPr>
                <w:rFonts w:ascii="Sans-serif" w:hAnsi="Sans-serif"/>
              </w:rPr>
            </w:pPr>
            <w:r>
              <w:rPr>
                <w:rFonts w:ascii="Sans-serif" w:hAnsi="Sans-serif"/>
              </w:rPr>
              <w:t>Term Tests (3)</w:t>
            </w:r>
          </w:p>
        </w:tc>
        <w:tc>
          <w:tcPr>
            <w:tcW w:w="4986" w:type="dxa"/>
            <w:tcBorders>
              <w:left w:val="single" w:sz="2" w:space="0" w:color="000000"/>
              <w:bottom w:val="single" w:sz="2" w:space="0" w:color="000000"/>
              <w:right w:val="single" w:sz="2" w:space="0" w:color="000000"/>
            </w:tcBorders>
            <w:shd w:fill="auto" w:val="clear"/>
          </w:tcPr>
          <w:p>
            <w:pPr>
              <w:pStyle w:val="TableContents"/>
              <w:rPr>
                <w:rFonts w:ascii="Sans-serif" w:hAnsi="Sans-serif"/>
              </w:rPr>
            </w:pPr>
            <w:r>
              <w:rPr>
                <w:rFonts w:ascii="Sans-serif" w:hAnsi="Sans-serif"/>
              </w:rPr>
              <w:t>45% (15% each)</w:t>
            </w:r>
          </w:p>
        </w:tc>
      </w:tr>
      <w:tr>
        <w:trPr/>
        <w:tc>
          <w:tcPr>
            <w:tcW w:w="4985" w:type="dxa"/>
            <w:tcBorders>
              <w:left w:val="single" w:sz="2" w:space="0" w:color="000000"/>
              <w:bottom w:val="single" w:sz="2" w:space="0" w:color="000000"/>
            </w:tcBorders>
            <w:shd w:fill="auto" w:val="clear"/>
          </w:tcPr>
          <w:p>
            <w:pPr>
              <w:pStyle w:val="TableContents"/>
              <w:rPr>
                <w:rFonts w:ascii="Sans-serif" w:hAnsi="Sans-serif"/>
              </w:rPr>
            </w:pPr>
            <w:r>
              <w:rPr>
                <w:rFonts w:ascii="Sans-serif" w:hAnsi="Sans-serif"/>
              </w:rPr>
              <w:t>Final Exam</w:t>
            </w:r>
          </w:p>
        </w:tc>
        <w:tc>
          <w:tcPr>
            <w:tcW w:w="4986" w:type="dxa"/>
            <w:tcBorders>
              <w:left w:val="single" w:sz="2" w:space="0" w:color="000000"/>
              <w:bottom w:val="single" w:sz="2" w:space="0" w:color="000000"/>
              <w:right w:val="single" w:sz="2" w:space="0" w:color="000000"/>
            </w:tcBorders>
            <w:shd w:fill="auto" w:val="clear"/>
          </w:tcPr>
          <w:p>
            <w:pPr>
              <w:pStyle w:val="TableContents"/>
              <w:rPr>
                <w:rFonts w:ascii="Sans-serif" w:hAnsi="Sans-serif"/>
              </w:rPr>
            </w:pPr>
            <w:r>
              <w:rPr>
                <w:rFonts w:ascii="Sans-serif" w:hAnsi="Sans-serif"/>
              </w:rPr>
              <w:t>35%</w:t>
            </w:r>
          </w:p>
        </w:tc>
      </w:tr>
    </w:tbl>
    <w:p>
      <w:pPr>
        <w:pStyle w:val="TextBody"/>
        <w:rPr/>
      </w:pPr>
      <w:r>
        <w:rPr/>
      </w:r>
    </w:p>
    <w:tbl>
      <w:tblPr>
        <w:tblW w:w="9972" w:type="dxa"/>
        <w:jc w:val="left"/>
        <w:tblInd w:w="0" w:type="dxa"/>
        <w:tblCellMar>
          <w:top w:w="55" w:type="dxa"/>
          <w:left w:w="55" w:type="dxa"/>
          <w:bottom w:w="55" w:type="dxa"/>
          <w:right w:w="55" w:type="dxa"/>
        </w:tblCellMar>
      </w:tblPr>
      <w:tblGrid>
        <w:gridCol w:w="1424"/>
        <w:gridCol w:w="1425"/>
        <w:gridCol w:w="1424"/>
        <w:gridCol w:w="3199"/>
        <w:gridCol w:w="2500"/>
      </w:tblGrid>
      <w:tr>
        <w:trPr/>
        <w:tc>
          <w:tcPr>
            <w:tcW w:w="1424" w:type="dxa"/>
            <w:tcBorders>
              <w:top w:val="single" w:sz="2" w:space="0" w:color="000000"/>
              <w:left w:val="single" w:sz="2" w:space="0" w:color="000000"/>
              <w:bottom w:val="single" w:sz="2" w:space="0" w:color="000000"/>
            </w:tcBorders>
            <w:shd w:fill="auto" w:val="clear"/>
          </w:tcPr>
          <w:p>
            <w:pPr>
              <w:pStyle w:val="TableContents"/>
              <w:rPr/>
            </w:pPr>
            <w:r>
              <w:rPr/>
              <w:t>Week</w:t>
            </w:r>
          </w:p>
        </w:tc>
        <w:tc>
          <w:tcPr>
            <w:tcW w:w="1425" w:type="dxa"/>
            <w:tcBorders>
              <w:top w:val="single" w:sz="2" w:space="0" w:color="000000"/>
              <w:left w:val="single" w:sz="2" w:space="0" w:color="000000"/>
              <w:bottom w:val="single" w:sz="2" w:space="0" w:color="000000"/>
            </w:tcBorders>
            <w:shd w:fill="auto" w:val="clear"/>
          </w:tcPr>
          <w:p>
            <w:pPr>
              <w:pStyle w:val="TableContents"/>
              <w:rPr/>
            </w:pPr>
            <w:r>
              <w:rPr/>
              <w:t>Week of</w:t>
            </w:r>
          </w:p>
        </w:tc>
        <w:tc>
          <w:tcPr>
            <w:tcW w:w="1424" w:type="dxa"/>
            <w:tcBorders>
              <w:top w:val="single" w:sz="2" w:space="0" w:color="000000"/>
              <w:left w:val="single" w:sz="2" w:space="0" w:color="000000"/>
              <w:bottom w:val="single" w:sz="2" w:space="0" w:color="000000"/>
            </w:tcBorders>
            <w:shd w:fill="auto" w:val="clear"/>
          </w:tcPr>
          <w:p>
            <w:pPr>
              <w:pStyle w:val="TableContents"/>
              <w:rPr/>
            </w:pPr>
            <w:r>
              <w:rPr/>
              <w:t>Topics</w:t>
            </w:r>
          </w:p>
        </w:tc>
        <w:tc>
          <w:tcPr>
            <w:tcW w:w="3199" w:type="dxa"/>
            <w:tcBorders>
              <w:top w:val="single" w:sz="2" w:space="0" w:color="000000"/>
              <w:left w:val="single" w:sz="2" w:space="0" w:color="000000"/>
              <w:bottom w:val="single" w:sz="2" w:space="0" w:color="000000"/>
            </w:tcBorders>
            <w:shd w:fill="auto" w:val="clear"/>
          </w:tcPr>
          <w:p>
            <w:pPr>
              <w:pStyle w:val="TableContents"/>
              <w:rPr/>
            </w:pPr>
            <w:r>
              <w:rPr/>
              <w:t>Wednesday Pre-Lecture</w:t>
            </w:r>
          </w:p>
        </w:tc>
        <w:tc>
          <w:tcPr>
            <w:tcW w:w="2500"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Thursday Pre-Lecture</w:t>
            </w:r>
          </w:p>
        </w:tc>
      </w:tr>
      <w:tr>
        <w:trPr/>
        <w:tc>
          <w:tcPr>
            <w:tcW w:w="1424" w:type="dxa"/>
            <w:tcBorders>
              <w:left w:val="single" w:sz="2" w:space="0" w:color="000000"/>
              <w:bottom w:val="single" w:sz="2" w:space="0" w:color="000000"/>
            </w:tcBorders>
            <w:shd w:fill="auto" w:val="clear"/>
          </w:tcPr>
          <w:p>
            <w:pPr>
              <w:pStyle w:val="TableContents"/>
              <w:rPr/>
            </w:pPr>
            <w:r>
              <w:rPr/>
              <w:t>1</w:t>
            </w:r>
          </w:p>
        </w:tc>
        <w:tc>
          <w:tcPr>
            <w:tcW w:w="1425" w:type="dxa"/>
            <w:tcBorders>
              <w:left w:val="single" w:sz="2" w:space="0" w:color="000000"/>
              <w:bottom w:val="single" w:sz="2" w:space="0" w:color="000000"/>
            </w:tcBorders>
            <w:shd w:fill="auto" w:val="clear"/>
          </w:tcPr>
          <w:p>
            <w:pPr>
              <w:pStyle w:val="TableContents"/>
              <w:rPr/>
            </w:pPr>
            <w:r>
              <w:rPr/>
              <w:t>Jan. 11</w:t>
            </w:r>
          </w:p>
        </w:tc>
        <w:tc>
          <w:tcPr>
            <w:tcW w:w="1424" w:type="dxa"/>
            <w:tcBorders>
              <w:left w:val="single" w:sz="2" w:space="0" w:color="000000"/>
              <w:bottom w:val="single" w:sz="2" w:space="0" w:color="000000"/>
            </w:tcBorders>
            <w:shd w:fill="auto" w:val="clear"/>
          </w:tcPr>
          <w:p>
            <w:pPr>
              <w:pStyle w:val="TableContents"/>
              <w:rPr/>
            </w:pPr>
            <w:r>
              <w:rPr/>
              <w:t>Introduction: Worst Case Complexity</w:t>
            </w:r>
          </w:p>
        </w:tc>
        <w:tc>
          <w:tcPr>
            <w:tcW w:w="3199" w:type="dxa"/>
            <w:tcBorders>
              <w:left w:val="single" w:sz="2" w:space="0" w:color="000000"/>
              <w:bottom w:val="single" w:sz="2" w:space="0" w:color="000000"/>
            </w:tcBorders>
            <w:shd w:fill="auto" w:val="clear"/>
          </w:tcPr>
          <w:p>
            <w:pPr>
              <w:pStyle w:val="TableContents"/>
              <w:rPr/>
            </w:pPr>
            <w:r>
              <w:rPr/>
              <w:t>None</w:t>
            </w:r>
          </w:p>
        </w:tc>
        <w:tc>
          <w:tcPr>
            <w:tcW w:w="2500" w:type="dxa"/>
            <w:tcBorders>
              <w:left w:val="single" w:sz="2" w:space="0" w:color="000000"/>
              <w:bottom w:val="single" w:sz="2" w:space="0" w:color="000000"/>
              <w:right w:val="single" w:sz="2" w:space="0" w:color="000000"/>
            </w:tcBorders>
            <w:shd w:fill="auto" w:val="clear"/>
          </w:tcPr>
          <w:p>
            <w:pPr>
              <w:pStyle w:val="TableContents"/>
              <w:rPr/>
            </w:pPr>
            <w:r>
              <w:rPr/>
              <w:t>CLRS 3.1</w:t>
            </w:r>
          </w:p>
        </w:tc>
      </w:tr>
      <w:tr>
        <w:trPr/>
        <w:tc>
          <w:tcPr>
            <w:tcW w:w="1424" w:type="dxa"/>
            <w:tcBorders>
              <w:left w:val="single" w:sz="2" w:space="0" w:color="000000"/>
              <w:bottom w:val="single" w:sz="2" w:space="0" w:color="000000"/>
            </w:tcBorders>
            <w:shd w:fill="auto" w:val="clear"/>
          </w:tcPr>
          <w:p>
            <w:pPr>
              <w:pStyle w:val="TableContents"/>
              <w:rPr/>
            </w:pPr>
            <w:r>
              <w:rPr/>
              <w:t>2</w:t>
            </w:r>
          </w:p>
        </w:tc>
        <w:tc>
          <w:tcPr>
            <w:tcW w:w="1425" w:type="dxa"/>
            <w:tcBorders>
              <w:left w:val="single" w:sz="2" w:space="0" w:color="000000"/>
              <w:bottom w:val="single" w:sz="2" w:space="0" w:color="000000"/>
            </w:tcBorders>
            <w:shd w:fill="auto" w:val="clear"/>
          </w:tcPr>
          <w:p>
            <w:pPr>
              <w:pStyle w:val="TableContents"/>
              <w:rPr/>
            </w:pPr>
            <w:r>
              <w:rPr/>
              <w:t>Jan. 18</w:t>
            </w:r>
          </w:p>
        </w:tc>
        <w:tc>
          <w:tcPr>
            <w:tcW w:w="1424" w:type="dxa"/>
            <w:tcBorders>
              <w:left w:val="single" w:sz="2" w:space="0" w:color="000000"/>
              <w:bottom w:val="single" w:sz="2" w:space="0" w:color="000000"/>
            </w:tcBorders>
            <w:shd w:fill="auto" w:val="clear"/>
          </w:tcPr>
          <w:p>
            <w:pPr>
              <w:pStyle w:val="TableContents"/>
              <w:rPr/>
            </w:pPr>
            <w:r>
              <w:rPr/>
              <w:t>Balanced Trees (AVL)</w:t>
            </w:r>
          </w:p>
        </w:tc>
        <w:tc>
          <w:tcPr>
            <w:tcW w:w="3199" w:type="dxa"/>
            <w:tcBorders>
              <w:left w:val="single" w:sz="2" w:space="0" w:color="000000"/>
              <w:bottom w:val="single" w:sz="2" w:space="0" w:color="000000"/>
            </w:tcBorders>
            <w:shd w:fill="auto" w:val="clear"/>
          </w:tcPr>
          <w:p>
            <w:pPr>
              <w:pStyle w:val="TableContents"/>
              <w:rPr/>
            </w:pPr>
            <w:r>
              <w:rPr/>
              <w:t>None</w:t>
            </w:r>
          </w:p>
        </w:tc>
        <w:tc>
          <w:tcPr>
            <w:tcW w:w="2500" w:type="dxa"/>
            <w:tcBorders>
              <w:left w:val="single" w:sz="2" w:space="0" w:color="000000"/>
              <w:bottom w:val="single" w:sz="2" w:space="0" w:color="000000"/>
              <w:right w:val="single" w:sz="2" w:space="0" w:color="000000"/>
            </w:tcBorders>
            <w:shd w:fill="auto" w:val="clear"/>
          </w:tcPr>
          <w:p>
            <w:pPr>
              <w:pStyle w:val="TableContents"/>
              <w:rPr/>
            </w:pPr>
            <w:r>
              <w:rPr/>
              <w:t>Refresh your understanding of Binary Search Trees and Visualization of BSTS</w:t>
            </w:r>
          </w:p>
        </w:tc>
      </w:tr>
      <w:tr>
        <w:trPr/>
        <w:tc>
          <w:tcPr>
            <w:tcW w:w="1424" w:type="dxa"/>
            <w:tcBorders>
              <w:left w:val="single" w:sz="2" w:space="0" w:color="000000"/>
              <w:bottom w:val="single" w:sz="2" w:space="0" w:color="000000"/>
            </w:tcBorders>
            <w:shd w:fill="auto" w:val="clear"/>
          </w:tcPr>
          <w:p>
            <w:pPr>
              <w:pStyle w:val="TableContents"/>
              <w:rPr/>
            </w:pPr>
            <w:r>
              <w:rPr/>
              <w:t>3</w:t>
            </w:r>
          </w:p>
        </w:tc>
        <w:tc>
          <w:tcPr>
            <w:tcW w:w="1425" w:type="dxa"/>
            <w:tcBorders>
              <w:left w:val="single" w:sz="2" w:space="0" w:color="000000"/>
              <w:bottom w:val="single" w:sz="2" w:space="0" w:color="000000"/>
            </w:tcBorders>
            <w:shd w:fill="auto" w:val="clear"/>
          </w:tcPr>
          <w:p>
            <w:pPr>
              <w:pStyle w:val="TableContents"/>
              <w:rPr/>
            </w:pPr>
            <w:r>
              <w:rPr/>
              <w:t>Jan. 25</w:t>
            </w:r>
          </w:p>
        </w:tc>
        <w:tc>
          <w:tcPr>
            <w:tcW w:w="1424" w:type="dxa"/>
            <w:tcBorders>
              <w:left w:val="single" w:sz="2" w:space="0" w:color="000000"/>
              <w:bottom w:val="single" w:sz="2" w:space="0" w:color="000000"/>
            </w:tcBorders>
            <w:shd w:fill="auto" w:val="clear"/>
          </w:tcPr>
          <w:p>
            <w:pPr>
              <w:pStyle w:val="TableContents"/>
              <w:rPr/>
            </w:pPr>
            <w:r>
              <w:rPr/>
              <w:t>AVL Trees Height and Augment. Interval Trees</w:t>
            </w:r>
          </w:p>
        </w:tc>
        <w:tc>
          <w:tcPr>
            <w:tcW w:w="3199" w:type="dxa"/>
            <w:tcBorders>
              <w:left w:val="single" w:sz="2" w:space="0" w:color="000000"/>
              <w:bottom w:val="single" w:sz="2" w:space="0" w:color="000000"/>
            </w:tcBorders>
            <w:shd w:fill="auto" w:val="clear"/>
          </w:tcPr>
          <w:p>
            <w:pPr>
              <w:pStyle w:val="TableContents"/>
              <w:rPr/>
            </w:pPr>
            <w:r>
              <w:rPr/>
              <w:t>None</w:t>
            </w:r>
          </w:p>
        </w:tc>
        <w:tc>
          <w:tcPr>
            <w:tcW w:w="2500" w:type="dxa"/>
            <w:tcBorders>
              <w:left w:val="single" w:sz="2" w:space="0" w:color="000000"/>
              <w:bottom w:val="single" w:sz="2" w:space="0" w:color="000000"/>
              <w:right w:val="single" w:sz="2" w:space="0" w:color="000000"/>
            </w:tcBorders>
            <w:shd w:fill="auto" w:val="clear"/>
          </w:tcPr>
          <w:p>
            <w:pPr>
              <w:pStyle w:val="TableContents"/>
              <w:rPr/>
            </w:pPr>
            <w:r>
              <w:rPr/>
              <w:t>None</w:t>
            </w:r>
          </w:p>
        </w:tc>
      </w:tr>
      <w:tr>
        <w:trPr/>
        <w:tc>
          <w:tcPr>
            <w:tcW w:w="1424" w:type="dxa"/>
            <w:tcBorders>
              <w:left w:val="single" w:sz="2" w:space="0" w:color="000000"/>
              <w:bottom w:val="single" w:sz="2" w:space="0" w:color="000000"/>
            </w:tcBorders>
            <w:shd w:fill="auto" w:val="clear"/>
          </w:tcPr>
          <w:p>
            <w:pPr>
              <w:pStyle w:val="TableContents"/>
              <w:rPr/>
            </w:pPr>
            <w:r>
              <w:rPr/>
              <w:t>4</w:t>
            </w:r>
          </w:p>
        </w:tc>
        <w:tc>
          <w:tcPr>
            <w:tcW w:w="1425" w:type="dxa"/>
            <w:tcBorders>
              <w:left w:val="single" w:sz="2" w:space="0" w:color="000000"/>
              <w:bottom w:val="single" w:sz="2" w:space="0" w:color="000000"/>
            </w:tcBorders>
            <w:shd w:fill="auto" w:val="clear"/>
          </w:tcPr>
          <w:p>
            <w:pPr>
              <w:pStyle w:val="TableContents"/>
              <w:rPr/>
            </w:pPr>
            <w:r>
              <w:rPr/>
              <w:t>Feb. 1</w:t>
            </w:r>
          </w:p>
        </w:tc>
        <w:tc>
          <w:tcPr>
            <w:tcW w:w="1424" w:type="dxa"/>
            <w:tcBorders>
              <w:left w:val="single" w:sz="2" w:space="0" w:color="000000"/>
              <w:bottom w:val="single" w:sz="2" w:space="0" w:color="000000"/>
            </w:tcBorders>
            <w:shd w:fill="auto" w:val="clear"/>
          </w:tcPr>
          <w:p>
            <w:pPr>
              <w:pStyle w:val="TableContents"/>
              <w:rPr/>
            </w:pPr>
            <w:r>
              <w:rPr/>
              <w:t>Finish Interval Trees, Heaps, and Graph Search Algorithms</w:t>
            </w:r>
          </w:p>
        </w:tc>
        <w:tc>
          <w:tcPr>
            <w:tcW w:w="3199" w:type="dxa"/>
            <w:tcBorders>
              <w:left w:val="single" w:sz="2" w:space="0" w:color="000000"/>
              <w:bottom w:val="single" w:sz="2" w:space="0" w:color="000000"/>
            </w:tcBorders>
            <w:shd w:fill="auto" w:val="clear"/>
          </w:tcPr>
          <w:p>
            <w:pPr>
              <w:pStyle w:val="TableContents"/>
              <w:rPr/>
            </w:pPr>
            <w:r>
              <w:rPr/>
              <w:t>None</w:t>
            </w:r>
          </w:p>
        </w:tc>
        <w:tc>
          <w:tcPr>
            <w:tcW w:w="2500" w:type="dxa"/>
            <w:tcBorders>
              <w:left w:val="single" w:sz="2" w:space="0" w:color="000000"/>
              <w:bottom w:val="single" w:sz="2" w:space="0" w:color="000000"/>
              <w:right w:val="single" w:sz="2" w:space="0" w:color="000000"/>
            </w:tcBorders>
            <w:shd w:fill="auto" w:val="clear"/>
          </w:tcPr>
          <w:p>
            <w:pPr>
              <w:pStyle w:val="TableContents"/>
              <w:rPr/>
            </w:pPr>
            <w:r>
              <w:rPr/>
              <w:t>Chapter 6.1 – 6.4</w:t>
            </w:r>
          </w:p>
        </w:tc>
      </w:tr>
      <w:tr>
        <w:trPr/>
        <w:tc>
          <w:tcPr>
            <w:tcW w:w="1424" w:type="dxa"/>
            <w:tcBorders>
              <w:left w:val="single" w:sz="2" w:space="0" w:color="000000"/>
              <w:bottom w:val="single" w:sz="2" w:space="0" w:color="000000"/>
            </w:tcBorders>
            <w:shd w:fill="auto" w:val="clear"/>
          </w:tcPr>
          <w:p>
            <w:pPr>
              <w:pStyle w:val="TableContents"/>
              <w:rPr/>
            </w:pPr>
            <w:r>
              <w:rPr/>
              <w:t>5</w:t>
            </w:r>
          </w:p>
        </w:tc>
        <w:tc>
          <w:tcPr>
            <w:tcW w:w="1425" w:type="dxa"/>
            <w:tcBorders>
              <w:left w:val="single" w:sz="2" w:space="0" w:color="000000"/>
              <w:bottom w:val="single" w:sz="2" w:space="0" w:color="000000"/>
            </w:tcBorders>
            <w:shd w:fill="auto" w:val="clear"/>
          </w:tcPr>
          <w:p>
            <w:pPr>
              <w:pStyle w:val="TableContents"/>
              <w:rPr/>
            </w:pPr>
            <w:r>
              <w:rPr/>
              <w:t>Feb. 8</w:t>
            </w:r>
          </w:p>
        </w:tc>
        <w:tc>
          <w:tcPr>
            <w:tcW w:w="1424" w:type="dxa"/>
            <w:tcBorders>
              <w:left w:val="single" w:sz="2" w:space="0" w:color="000000"/>
              <w:bottom w:val="single" w:sz="2" w:space="0" w:color="000000"/>
            </w:tcBorders>
            <w:shd w:fill="auto" w:val="clear"/>
          </w:tcPr>
          <w:p>
            <w:pPr>
              <w:pStyle w:val="TableContents"/>
              <w:rPr/>
            </w:pPr>
            <w:r>
              <w:rPr/>
              <w:t>Graph Searches and Minimum Spanning Trees</w:t>
            </w:r>
          </w:p>
        </w:tc>
        <w:tc>
          <w:tcPr>
            <w:tcW w:w="3199" w:type="dxa"/>
            <w:tcBorders>
              <w:left w:val="single" w:sz="2" w:space="0" w:color="000000"/>
              <w:bottom w:val="single" w:sz="2" w:space="0" w:color="000000"/>
            </w:tcBorders>
            <w:shd w:fill="auto" w:val="clear"/>
          </w:tcPr>
          <w:p>
            <w:pPr>
              <w:pStyle w:val="TableContents"/>
              <w:rPr/>
            </w:pPr>
            <w:r>
              <w:rPr/>
              <w:t>Term Test Wednesday</w:t>
            </w:r>
          </w:p>
        </w:tc>
        <w:tc>
          <w:tcPr>
            <w:tcW w:w="2500" w:type="dxa"/>
            <w:tcBorders>
              <w:left w:val="single" w:sz="2" w:space="0" w:color="000000"/>
              <w:bottom w:val="single" w:sz="2" w:space="0" w:color="000000"/>
              <w:right w:val="single" w:sz="2" w:space="0" w:color="000000"/>
            </w:tcBorders>
            <w:shd w:fill="auto" w:val="clear"/>
          </w:tcPr>
          <w:p>
            <w:pPr>
              <w:pStyle w:val="TableContents"/>
              <w:rPr/>
            </w:pPr>
            <w:r>
              <w:rPr/>
              <w:t>If you have not had your tutorial, read the graph handout on the tutorials page</w:t>
            </w:r>
          </w:p>
        </w:tc>
      </w:tr>
      <w:tr>
        <w:trPr/>
        <w:tc>
          <w:tcPr>
            <w:tcW w:w="1424" w:type="dxa"/>
            <w:tcBorders>
              <w:left w:val="single" w:sz="2" w:space="0" w:color="000000"/>
              <w:bottom w:val="single" w:sz="2" w:space="0" w:color="000000"/>
            </w:tcBorders>
            <w:shd w:fill="auto" w:val="clear"/>
          </w:tcPr>
          <w:p>
            <w:pPr>
              <w:pStyle w:val="TableContents"/>
              <w:rPr/>
            </w:pPr>
            <w:r>
              <w:rPr/>
              <w:t>6</w:t>
            </w:r>
          </w:p>
        </w:tc>
        <w:tc>
          <w:tcPr>
            <w:tcW w:w="1425" w:type="dxa"/>
            <w:tcBorders>
              <w:left w:val="single" w:sz="2" w:space="0" w:color="000000"/>
              <w:bottom w:val="single" w:sz="2" w:space="0" w:color="000000"/>
            </w:tcBorders>
            <w:shd w:fill="auto" w:val="clear"/>
          </w:tcPr>
          <w:p>
            <w:pPr>
              <w:pStyle w:val="TableContents"/>
              <w:rPr/>
            </w:pPr>
            <w:r>
              <w:rPr/>
              <w:t>Feb. 15</w:t>
            </w:r>
          </w:p>
        </w:tc>
        <w:tc>
          <w:tcPr>
            <w:tcW w:w="1424" w:type="dxa"/>
            <w:tcBorders>
              <w:left w:val="single" w:sz="2" w:space="0" w:color="000000"/>
              <w:bottom w:val="single" w:sz="2" w:space="0" w:color="000000"/>
            </w:tcBorders>
            <w:shd w:fill="auto" w:val="clear"/>
          </w:tcPr>
          <w:p>
            <w:pPr>
              <w:pStyle w:val="TableContents"/>
              <w:rPr/>
            </w:pPr>
            <w:r>
              <w:rPr/>
              <w:t>Proof of Prim’s, Dijkstra’s Algorithm, and Strongly Connected Components</w:t>
            </w:r>
          </w:p>
        </w:tc>
        <w:tc>
          <w:tcPr>
            <w:tcW w:w="3199" w:type="dxa"/>
            <w:tcBorders>
              <w:left w:val="single" w:sz="2" w:space="0" w:color="000000"/>
              <w:bottom w:val="single" w:sz="2" w:space="0" w:color="000000"/>
            </w:tcBorders>
            <w:shd w:fill="auto" w:val="clear"/>
          </w:tcPr>
          <w:p>
            <w:pPr>
              <w:pStyle w:val="TableContents"/>
              <w:rPr/>
            </w:pPr>
            <w:r>
              <w:rPr/>
              <w:t>Chapter 24.3: Practice Prim’s Algorithm</w:t>
            </w:r>
          </w:p>
        </w:tc>
        <w:tc>
          <w:tcPr>
            <w:tcW w:w="2500" w:type="dxa"/>
            <w:tcBorders>
              <w:left w:val="single" w:sz="2" w:space="0" w:color="000000"/>
              <w:bottom w:val="single" w:sz="2" w:space="0" w:color="000000"/>
              <w:right w:val="single" w:sz="2" w:space="0" w:color="000000"/>
            </w:tcBorders>
            <w:shd w:fill="auto" w:val="clear"/>
          </w:tcPr>
          <w:p>
            <w:pPr>
              <w:pStyle w:val="TableContents"/>
              <w:rPr/>
            </w:pPr>
            <w:r>
              <w:rPr/>
              <w:t>Chapter 22.5 and Review DFS: Make sure you understand!</w:t>
            </w:r>
          </w:p>
        </w:tc>
      </w:tr>
      <w:tr>
        <w:trPr/>
        <w:tc>
          <w:tcPr>
            <w:tcW w:w="1424" w:type="dxa"/>
            <w:tcBorders>
              <w:left w:val="single" w:sz="2" w:space="0" w:color="000000"/>
              <w:bottom w:val="single" w:sz="2" w:space="0" w:color="000000"/>
            </w:tcBorders>
            <w:shd w:fill="auto" w:val="clear"/>
          </w:tcPr>
          <w:p>
            <w:pPr>
              <w:pStyle w:val="TableContents"/>
              <w:rPr/>
            </w:pPr>
            <w:r>
              <w:rPr/>
              <w:t>7</w:t>
            </w:r>
          </w:p>
        </w:tc>
        <w:tc>
          <w:tcPr>
            <w:tcW w:w="1425" w:type="dxa"/>
            <w:tcBorders>
              <w:left w:val="single" w:sz="2" w:space="0" w:color="000000"/>
              <w:bottom w:val="single" w:sz="2" w:space="0" w:color="000000"/>
            </w:tcBorders>
            <w:shd w:fill="auto" w:val="clear"/>
          </w:tcPr>
          <w:p>
            <w:pPr>
              <w:pStyle w:val="TableContents"/>
              <w:rPr/>
            </w:pPr>
            <w:r>
              <w:rPr/>
              <w:t>Feb. 22</w:t>
            </w:r>
          </w:p>
        </w:tc>
        <w:tc>
          <w:tcPr>
            <w:tcW w:w="1424" w:type="dxa"/>
            <w:tcBorders>
              <w:left w:val="single" w:sz="2" w:space="0" w:color="000000"/>
              <w:bottom w:val="single" w:sz="2" w:space="0" w:color="000000"/>
            </w:tcBorders>
            <w:shd w:fill="auto" w:val="clear"/>
          </w:tcPr>
          <w:p>
            <w:pPr>
              <w:pStyle w:val="TableContents"/>
              <w:rPr/>
            </w:pPr>
            <w:r>
              <w:rPr/>
              <w:t>Amortized Analysis</w:t>
            </w:r>
          </w:p>
        </w:tc>
        <w:tc>
          <w:tcPr>
            <w:tcW w:w="3199" w:type="dxa"/>
            <w:tcBorders>
              <w:left w:val="single" w:sz="2" w:space="0" w:color="000000"/>
              <w:bottom w:val="single" w:sz="2" w:space="0" w:color="000000"/>
            </w:tcBorders>
            <w:shd w:fill="auto" w:val="clear"/>
          </w:tcPr>
          <w:p>
            <w:pPr>
              <w:pStyle w:val="TableContents"/>
              <w:rPr/>
            </w:pPr>
            <w:r>
              <w:rPr/>
              <w:t>Chapter 17.4 and 21</w:t>
            </w:r>
          </w:p>
        </w:tc>
        <w:tc>
          <w:tcPr>
            <w:tcW w:w="2500" w:type="dxa"/>
            <w:tcBorders>
              <w:left w:val="single" w:sz="2" w:space="0" w:color="000000"/>
              <w:bottom w:val="single" w:sz="2" w:space="0" w:color="000000"/>
              <w:right w:val="single" w:sz="2" w:space="0" w:color="000000"/>
            </w:tcBorders>
            <w:shd w:fill="auto" w:val="clear"/>
          </w:tcPr>
          <w:p>
            <w:pPr>
              <w:pStyle w:val="TableContents"/>
              <w:rPr/>
            </w:pPr>
            <w:r>
              <w:rPr/>
              <w:t>None</w:t>
            </w:r>
          </w:p>
        </w:tc>
      </w:tr>
      <w:tr>
        <w:trPr/>
        <w:tc>
          <w:tcPr>
            <w:tcW w:w="1424" w:type="dxa"/>
            <w:tcBorders>
              <w:left w:val="single" w:sz="2" w:space="0" w:color="000000"/>
              <w:bottom w:val="single" w:sz="2" w:space="0" w:color="000000"/>
            </w:tcBorders>
            <w:shd w:fill="auto" w:val="clear"/>
          </w:tcPr>
          <w:p>
            <w:pPr>
              <w:pStyle w:val="TableContents"/>
              <w:rPr/>
            </w:pPr>
            <w:r>
              <w:rPr/>
              <w:t>8</w:t>
            </w:r>
          </w:p>
        </w:tc>
        <w:tc>
          <w:tcPr>
            <w:tcW w:w="1425" w:type="dxa"/>
            <w:tcBorders>
              <w:left w:val="single" w:sz="2" w:space="0" w:color="000000"/>
              <w:bottom w:val="single" w:sz="2" w:space="0" w:color="000000"/>
            </w:tcBorders>
            <w:shd w:fill="auto" w:val="clear"/>
          </w:tcPr>
          <w:p>
            <w:pPr>
              <w:pStyle w:val="TableContents"/>
              <w:rPr/>
            </w:pPr>
            <w:r>
              <w:rPr/>
              <w:t>March 1</w:t>
            </w:r>
          </w:p>
        </w:tc>
        <w:tc>
          <w:tcPr>
            <w:tcW w:w="1424" w:type="dxa"/>
            <w:tcBorders>
              <w:left w:val="single" w:sz="2" w:space="0" w:color="000000"/>
              <w:bottom w:val="single" w:sz="2" w:space="0" w:color="000000"/>
            </w:tcBorders>
            <w:shd w:fill="auto" w:val="clear"/>
          </w:tcPr>
          <w:p>
            <w:pPr>
              <w:pStyle w:val="TableContents"/>
              <w:rPr/>
            </w:pPr>
            <w:r>
              <w:rPr/>
              <w:t>Disjoint Sets and Fibonacci Heaps</w:t>
            </w:r>
          </w:p>
        </w:tc>
        <w:tc>
          <w:tcPr>
            <w:tcW w:w="3199" w:type="dxa"/>
            <w:tcBorders>
              <w:left w:val="single" w:sz="2" w:space="0" w:color="000000"/>
              <w:bottom w:val="single" w:sz="2" w:space="0" w:color="000000"/>
            </w:tcBorders>
            <w:shd w:fill="auto" w:val="clear"/>
          </w:tcPr>
          <w:p>
            <w:pPr>
              <w:pStyle w:val="TableContents"/>
              <w:rPr/>
            </w:pPr>
            <w:r>
              <w:rPr/>
              <w:t>Chapter 20</w:t>
            </w:r>
          </w:p>
        </w:tc>
        <w:tc>
          <w:tcPr>
            <w:tcW w:w="2500" w:type="dxa"/>
            <w:tcBorders>
              <w:left w:val="single" w:sz="2" w:space="0" w:color="000000"/>
              <w:bottom w:val="single" w:sz="2" w:space="0" w:color="000000"/>
              <w:right w:val="single" w:sz="2" w:space="0" w:color="000000"/>
            </w:tcBorders>
            <w:shd w:fill="auto" w:val="clear"/>
          </w:tcPr>
          <w:p>
            <w:pPr>
              <w:pStyle w:val="TableContents"/>
              <w:rPr/>
            </w:pPr>
            <w:r>
              <w:rPr/>
              <w:t>None</w:t>
            </w:r>
          </w:p>
        </w:tc>
      </w:tr>
    </w:tbl>
    <w:p>
      <w:pPr>
        <w:pStyle w:val="TextBody"/>
        <w:rPr/>
      </w:pPr>
      <w:r>
        <w:rPr/>
      </w:r>
    </w:p>
    <w:p>
      <w:pPr>
        <w:pStyle w:val="Heading1"/>
        <w:numPr>
          <w:ilvl w:val="0"/>
          <w:numId w:val="2"/>
        </w:numPr>
        <w:rPr>
          <w:rFonts w:ascii="Sans-serif" w:hAnsi="Sans-serif"/>
        </w:rPr>
      </w:pPr>
      <w:r>
        <w:rPr>
          <w:rFonts w:ascii="Sans-serif" w:hAnsi="Sans-serif"/>
        </w:rPr>
        <w:t>Textbook</w:t>
      </w:r>
    </w:p>
    <w:p>
      <w:pPr>
        <w:pStyle w:val="TextBody"/>
        <w:rPr>
          <w:rFonts w:ascii="Sans-serif" w:hAnsi="Sans-serif"/>
        </w:rPr>
      </w:pPr>
      <w:r>
        <w:rPr>
          <w:rFonts w:ascii="Sans-serif" w:hAnsi="Sans-serif"/>
        </w:rPr>
        <w:t>Algorithm Design: Foundations, Analysis, and Internet Examples.</w:t>
      </w:r>
    </w:p>
    <w:p>
      <w:pPr>
        <w:pStyle w:val="TextBody"/>
        <w:numPr>
          <w:ilvl w:val="0"/>
          <w:numId w:val="6"/>
        </w:numPr>
        <w:rPr>
          <w:rFonts w:ascii="Sans-serif" w:hAnsi="Sans-serif"/>
        </w:rPr>
      </w:pPr>
      <w:r>
        <w:rPr>
          <w:rFonts w:ascii="Sans-serif" w:hAnsi="Sans-serif"/>
        </w:rPr>
        <w:t>Michael Goodrich and Roberto Tamassia, John Wiley &amp; Sons (2002), ISBN:0471383651.</w:t>
      </w:r>
    </w:p>
    <w:p>
      <w:pPr>
        <w:pStyle w:val="TextBody"/>
        <w:rPr>
          <w:rFonts w:ascii="Sans-serif" w:hAnsi="Sans-serif"/>
        </w:rPr>
      </w:pPr>
      <w:r>
        <w:rPr>
          <w:rFonts w:ascii="Sans-serif" w:hAnsi="Sans-serif"/>
        </w:rPr>
        <w:t>Introduction to Algorithms (2nd edition).</w:t>
      </w:r>
    </w:p>
    <w:p>
      <w:pPr>
        <w:pStyle w:val="TextBody"/>
        <w:numPr>
          <w:ilvl w:val="0"/>
          <w:numId w:val="7"/>
        </w:numPr>
        <w:rPr>
          <w:rFonts w:ascii="Sans-serif" w:hAnsi="Sans-serif"/>
        </w:rPr>
      </w:pPr>
      <w:r>
        <w:rPr>
          <w:rFonts w:ascii="Sans-serif" w:hAnsi="Sans-serif"/>
        </w:rPr>
        <w:t>Cormen, Leiserson, Rivest, Stein McGraw-Hill (2001), ISBN:0070131511.</w:t>
      </w:r>
    </w:p>
    <w:p>
      <w:pPr>
        <w:pStyle w:val="TextBody"/>
        <w:rPr>
          <w:rFonts w:ascii="Sans-serif" w:hAnsi="Sans-serif"/>
        </w:rPr>
      </w:pPr>
      <w:r>
        <w:rPr>
          <w:rFonts w:ascii="Sans-serif" w:hAnsi="Sans-serif"/>
        </w:rPr>
        <w:t>Free online access for U of T students:</w:t>
      </w:r>
    </w:p>
    <w:p>
      <w:pPr>
        <w:pStyle w:val="TextBody"/>
        <w:rPr>
          <w:rFonts w:ascii="Sans-serif" w:hAnsi="Sans-serif"/>
        </w:rPr>
      </w:pPr>
      <w:r>
        <w:rPr>
          <w:rFonts w:ascii="Sans-serif" w:hAnsi="Sans-serif"/>
        </w:rPr>
        <w:t>http://main.library.utoronto.ca/eir/resources.cfm</w:t>
      </w:r>
    </w:p>
    <w:p>
      <w:pPr>
        <w:pStyle w:val="Heading1"/>
        <w:numPr>
          <w:ilvl w:val="0"/>
          <w:numId w:val="3"/>
        </w:numPr>
        <w:spacing w:lineRule="auto" w:line="276"/>
        <w:rPr>
          <w:rFonts w:ascii="Sans-serif" w:hAnsi="Sans-serif"/>
        </w:rPr>
      </w:pPr>
      <w:r>
        <w:rPr>
          <w:rFonts w:ascii="Sans-serif" w:hAnsi="Sans-serif"/>
        </w:rPr>
        <w:t>Student Conduct Expectations</w:t>
      </w:r>
    </w:p>
    <w:p>
      <w:pPr>
        <w:pStyle w:val="TextBody"/>
        <w:spacing w:lineRule="auto" w:line="276"/>
        <w:rPr>
          <w:rFonts w:ascii="Sans-serif" w:hAnsi="Sans-serif"/>
        </w:rPr>
      </w:pPr>
      <w:r>
        <w:rPr>
          <w:rFonts w:ascii="Sans-serif" w:hAnsi="Sans-serif"/>
        </w:rPr>
        <w:t>As we all adjust to online classes and lectures, and increasingly participate in virtual learning environments, students are reminded of the expectation that we all demonstrate respect for one another. As outlined in the Student Code of Conduct, the University of Toronto does not condone discrimination or harassment against any persons or communities especially when based on grounds CSCB63 Winter 2021. Protected under the Ontario Human Rights Code. The University of Toronto recognizes its commitment to human rights, equity and inclusion and acknowledges the disproportionate impact COVID-19 has on various parts of our community. COVID-19 is not isolated to people of any particular ethnic origin, place of origin or race. Equity, diversity and respect must remain integral as we continue to transition during these challenging times. The institution will monitor and address discriminatory comments or behaviour including on U of T’s online platforms and classrooms.</w:t>
      </w:r>
    </w:p>
    <w:p>
      <w:pPr>
        <w:pStyle w:val="TextBody"/>
        <w:spacing w:lineRule="auto" w:line="276"/>
        <w:rPr>
          <w:rFonts w:ascii="Sans-serif" w:hAnsi="Sans-serif"/>
        </w:rPr>
      </w:pPr>
      <w:r>
        <w:rPr>
          <w:rFonts w:ascii="Sans-serif" w:hAnsi="Sans-serif"/>
          <w:b/>
          <w:bCs/>
        </w:rPr>
        <w:t>Safe Place to Learn</w:t>
      </w:r>
      <w:r>
        <w:rPr>
          <w:rFonts w:ascii="Sans-serif" w:hAnsi="Sans-serif"/>
        </w:rPr>
        <w:t xml:space="preserve"> </w:t>
      </w:r>
      <w:r>
        <w:rPr>
          <w:rFonts w:ascii="Sans-serif" w:hAnsi="Sans-serif"/>
          <w:b/>
          <w:bCs/>
        </w:rPr>
        <w:t>- Show Respect:</w:t>
      </w:r>
      <w:r>
        <w:rPr>
          <w:rFonts w:ascii="Sans-serif" w:hAnsi="Sans-serif"/>
        </w:rPr>
        <w:t xml:space="preserve"> All individuals (i.e., students, professors, guests) deserve to be treated with respect and need to be respectful to others. This means allowing for different opinions, waiting for your turn to talk, and making no abusive actions or comments towards anyone in the class.</w:t>
      </w:r>
    </w:p>
    <w:p>
      <w:pPr>
        <w:pStyle w:val="TextBody"/>
        <w:spacing w:lineRule="auto" w:line="276"/>
        <w:rPr>
          <w:rFonts w:ascii="Sans-serif" w:hAnsi="Sans-serif"/>
        </w:rPr>
      </w:pPr>
      <w:r>
        <w:rPr>
          <w:rFonts w:ascii="Sans-serif" w:hAnsi="Sans-serif"/>
          <w:b/>
          <w:bCs/>
        </w:rPr>
        <w:t>Confidentiality (no expiry date):</w:t>
      </w:r>
      <w:r>
        <w:rPr>
          <w:rFonts w:ascii="Sans-serif" w:hAnsi="Sans-serif"/>
        </w:rPr>
        <w:t xml:space="preserve"> If someone shares a personal experience about him or herself, or others, please do not share details of the story that will identify the people involved. Also, please only share what you feel comfortable sharing during class discussions.</w:t>
      </w:r>
    </w:p>
    <w:p>
      <w:pPr>
        <w:pStyle w:val="TextBody"/>
        <w:spacing w:lineRule="auto" w:line="276"/>
        <w:rPr>
          <w:rFonts w:ascii="Sans-serif" w:hAnsi="Sans-serif"/>
        </w:rPr>
      </w:pPr>
      <w:r>
        <w:rPr>
          <w:rFonts w:ascii="Sans-serif" w:hAnsi="Sans-serif"/>
          <w:b/>
          <w:bCs/>
        </w:rPr>
        <w:t>Minimize Distractions:</w:t>
      </w:r>
      <w:r>
        <w:rPr>
          <w:rFonts w:ascii="Sans-serif" w:hAnsi="Sans-serif"/>
        </w:rPr>
        <w:t xml:space="preserve"> During classes, email/texts should be discreetly and infrequently checked, if at all. Side chatter should be kept to a minimum.</w:t>
      </w:r>
    </w:p>
    <w:p>
      <w:pPr>
        <w:pStyle w:val="TextBody"/>
        <w:spacing w:lineRule="auto" w:line="276"/>
        <w:rPr>
          <w:rFonts w:ascii="Sans-serif" w:hAnsi="Sans-serif"/>
        </w:rPr>
      </w:pPr>
      <w:r>
        <w:rPr>
          <w:rFonts w:ascii="Sans-serif" w:hAnsi="Sans-serif"/>
        </w:rPr>
        <w:t>Required Materials:</w:t>
      </w:r>
    </w:p>
    <w:p>
      <w:pPr>
        <w:pStyle w:val="TextBody"/>
        <w:spacing w:lineRule="auto" w:line="276"/>
        <w:rPr>
          <w:rFonts w:ascii="Sans-serif" w:hAnsi="Sans-serif"/>
        </w:rPr>
      </w:pPr>
      <w:r>
        <w:rPr>
          <w:rFonts w:ascii="Sans-serif" w:hAnsi="Sans-serif"/>
        </w:rPr>
        <w:t>To participate in online discussions and conduct remote interviews, students will need the following materials:</w:t>
      </w:r>
    </w:p>
    <w:p>
      <w:pPr>
        <w:pStyle w:val="TextBody"/>
        <w:numPr>
          <w:ilvl w:val="0"/>
          <w:numId w:val="4"/>
        </w:numPr>
        <w:spacing w:lineRule="auto" w:line="276"/>
        <w:rPr>
          <w:rFonts w:ascii="Sans-serif" w:hAnsi="Sans-serif"/>
        </w:rPr>
      </w:pPr>
      <w:r>
        <w:rPr>
          <w:rFonts w:ascii="Sans-serif" w:hAnsi="Sans-serif"/>
        </w:rPr>
        <w:t>Phone</w:t>
      </w:r>
    </w:p>
    <w:p>
      <w:pPr>
        <w:pStyle w:val="TextBody"/>
        <w:numPr>
          <w:ilvl w:val="0"/>
          <w:numId w:val="4"/>
        </w:numPr>
        <w:spacing w:lineRule="auto" w:line="276"/>
        <w:rPr>
          <w:rFonts w:ascii="Sans-serif" w:hAnsi="Sans-serif"/>
        </w:rPr>
      </w:pPr>
      <w:r>
        <w:rPr>
          <w:rFonts w:ascii="Sans-serif" w:hAnsi="Sans-serif"/>
        </w:rPr>
        <w:t>Webcam</w:t>
      </w:r>
    </w:p>
    <w:p>
      <w:pPr>
        <w:pStyle w:val="TextBody"/>
        <w:numPr>
          <w:ilvl w:val="0"/>
          <w:numId w:val="4"/>
        </w:numPr>
        <w:spacing w:lineRule="auto" w:line="276"/>
        <w:rPr>
          <w:rFonts w:ascii="Sans-serif" w:hAnsi="Sans-serif"/>
        </w:rPr>
      </w:pPr>
      <w:r>
        <w:rPr>
          <w:rFonts w:ascii="Sans-serif" w:hAnsi="Sans-serif"/>
        </w:rPr>
        <w:t>Laptop/desktop/tablet</w:t>
      </w:r>
    </w:p>
    <w:p>
      <w:pPr>
        <w:pStyle w:val="TextBody"/>
        <w:numPr>
          <w:ilvl w:val="0"/>
          <w:numId w:val="4"/>
        </w:numPr>
        <w:spacing w:lineRule="auto" w:line="276"/>
        <w:rPr>
          <w:rFonts w:ascii="Sans-serif" w:hAnsi="Sans-serif"/>
        </w:rPr>
      </w:pPr>
      <w:r>
        <w:rPr>
          <w:rFonts w:ascii="Sans-serif" w:hAnsi="Sans-serif"/>
        </w:rPr>
        <w:t>Internet access</w:t>
      </w:r>
    </w:p>
    <w:p>
      <w:pPr>
        <w:pStyle w:val="TextBody"/>
        <w:numPr>
          <w:ilvl w:val="0"/>
          <w:numId w:val="4"/>
        </w:numPr>
        <w:spacing w:lineRule="auto" w:line="276"/>
        <w:rPr>
          <w:rFonts w:ascii="Sans-serif" w:hAnsi="Sans-serif"/>
        </w:rPr>
      </w:pPr>
      <w:r>
        <w:rPr>
          <w:rFonts w:ascii="Sans-serif" w:hAnsi="Sans-serif"/>
        </w:rPr>
        <w:t>Headphones (optional but recommended)</w:t>
      </w:r>
    </w:p>
    <w:p>
      <w:pPr>
        <w:pStyle w:val="TextBody"/>
        <w:numPr>
          <w:ilvl w:val="0"/>
          <w:numId w:val="4"/>
        </w:numPr>
        <w:spacing w:lineRule="auto" w:line="276"/>
        <w:rPr>
          <w:rFonts w:ascii="Sans-serif" w:hAnsi="Sans-serif"/>
        </w:rPr>
      </w:pPr>
      <w:r>
        <w:rPr>
          <w:rFonts w:ascii="Sans-serif" w:hAnsi="Sans-serif"/>
        </w:rPr>
        <w:t>Microphone (optional but recommended)</w:t>
      </w:r>
    </w:p>
    <w:p>
      <w:pPr>
        <w:pStyle w:val="Heading1"/>
        <w:numPr>
          <w:ilvl w:val="0"/>
          <w:numId w:val="3"/>
        </w:numPr>
        <w:rPr>
          <w:rFonts w:ascii="Sans-serif" w:hAnsi="Sans-serif"/>
        </w:rPr>
      </w:pPr>
      <w:r>
        <w:rPr>
          <w:rFonts w:ascii="Sans-serif" w:hAnsi="Sans-serif"/>
        </w:rPr>
        <w:t>Student Code of Conduct</w:t>
      </w:r>
    </w:p>
    <w:p>
      <w:pPr>
        <w:pStyle w:val="TextBody"/>
        <w:rPr>
          <w:rFonts w:ascii="Sans-serif" w:hAnsi="Sans-serif"/>
        </w:rPr>
      </w:pPr>
      <w:r>
        <w:rPr>
          <w:rFonts w:ascii="Sans-serif" w:hAnsi="Sans-serif"/>
        </w:rPr>
        <w:t>In accordance with the Ontario Human Rights Code, no person shall engage in a course of vexatious</w:t>
      </w:r>
    </w:p>
    <w:p>
      <w:pPr>
        <w:pStyle w:val="TextBody"/>
        <w:rPr>
          <w:rFonts w:ascii="Sans-serif" w:hAnsi="Sans-serif"/>
        </w:rPr>
      </w:pPr>
      <w:r>
        <w:rPr>
          <w:rFonts w:ascii="Sans-serif" w:hAnsi="Sans-serif"/>
        </w:rPr>
        <w:t>conduct that is directed at one or more specific individuals, and that is based on the race, ancestry,</w:t>
      </w:r>
    </w:p>
    <w:p>
      <w:pPr>
        <w:pStyle w:val="TextBody"/>
        <w:rPr>
          <w:rFonts w:ascii="Sans-serif" w:hAnsi="Sans-serif"/>
        </w:rPr>
      </w:pPr>
      <w:r>
        <w:rPr>
          <w:rFonts w:ascii="Sans-serif" w:hAnsi="Sans-serif"/>
        </w:rPr>
        <w:t>place of origin, colour, ethnic origin, citizenship, sexual orientation, gender identity, gender</w:t>
      </w:r>
    </w:p>
    <w:p>
      <w:pPr>
        <w:pStyle w:val="TextBody"/>
        <w:rPr>
          <w:rFonts w:ascii="Sans-serif" w:hAnsi="Sans-serif"/>
        </w:rPr>
      </w:pPr>
      <w:r>
        <w:rPr>
          <w:rFonts w:ascii="Sans-serif" w:hAnsi="Sans-serif"/>
        </w:rPr>
        <w:t>expression, age marital status, family status or disability. This includes:</w:t>
      </w:r>
    </w:p>
    <w:p>
      <w:pPr>
        <w:pStyle w:val="TextBody"/>
        <w:numPr>
          <w:ilvl w:val="0"/>
          <w:numId w:val="5"/>
        </w:numPr>
        <w:rPr>
          <w:rFonts w:ascii="Sans-serif" w:hAnsi="Sans-serif"/>
        </w:rPr>
      </w:pPr>
      <w:r>
        <w:rPr>
          <w:rFonts w:ascii="Sans-serif" w:hAnsi="Sans-serif"/>
        </w:rPr>
        <w:t>Racial slurs or “jokes”: insults due to racial identity</w:t>
      </w:r>
    </w:p>
    <w:p>
      <w:pPr>
        <w:pStyle w:val="TextBody"/>
        <w:numPr>
          <w:ilvl w:val="0"/>
          <w:numId w:val="5"/>
        </w:numPr>
        <w:rPr>
          <w:rFonts w:ascii="Sans-serif" w:hAnsi="Sans-serif"/>
        </w:rPr>
      </w:pPr>
      <w:r>
        <w:rPr>
          <w:rFonts w:ascii="Sans-serif" w:hAnsi="Sans-serif"/>
        </w:rPr>
        <w:t>Online posts of cartoons or pictures, in a workplace or school that degrade persons of a particular racial group</w:t>
      </w:r>
    </w:p>
    <w:p>
      <w:pPr>
        <w:pStyle w:val="TextBody"/>
        <w:numPr>
          <w:ilvl w:val="0"/>
          <w:numId w:val="5"/>
        </w:numPr>
        <w:rPr>
          <w:rFonts w:ascii="Sans-serif" w:hAnsi="Sans-serif"/>
        </w:rPr>
      </w:pPr>
      <w:r>
        <w:rPr>
          <w:rFonts w:ascii="Sans-serif" w:hAnsi="Sans-serif"/>
        </w:rPr>
        <w:t>Name-calling due to race, colour, citizenship, place of origin, ancestry, ethnic background or creed</w:t>
      </w:r>
    </w:p>
    <w:p>
      <w:pPr>
        <w:pStyle w:val="TextBody"/>
        <w:numPr>
          <w:ilvl w:val="0"/>
          <w:numId w:val="5"/>
        </w:numPr>
        <w:rPr>
          <w:rFonts w:ascii="Sans-serif" w:hAnsi="Sans-serif"/>
        </w:rPr>
      </w:pPr>
      <w:r>
        <w:rPr>
          <w:rFonts w:ascii="Sans-serif" w:hAnsi="Sans-serif"/>
        </w:rPr>
        <w:t>Pseudonyms or handles that are inappropriate about ancestry, colour, citizenship, ethnicity, place of origin, race, or religion</w:t>
      </w:r>
    </w:p>
    <w:p>
      <w:pPr>
        <w:pStyle w:val="TextBody"/>
        <w:spacing w:before="0" w:after="140"/>
        <w:rPr/>
      </w:pPr>
      <w:r>
        <w:rPr>
          <w:rFonts w:ascii="Sans-serif" w:hAnsi="Sans-serif"/>
        </w:rPr>
        <w:t>The University of Toronto’s Equity Offices remain available to students to provide support on equity issues that arise as a result of COVID-19. Students are encouraged to support one another and the CSCB63 Winter 2021 University’s commitment to human rights and our values of diversity, inclusion, and respect in managing any inappropriate comments or disruptive behaviours. If you experience or witness inappropriate comments or behaviours in your classes, you If you can, take and share a screenshot of the inappropriate content with your instructor so they can follow-up with you and address the conduct.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Sans-serif">
    <w:altName w:val="Arial"/>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ascii="Sans-serif" w:hAnsi="Sans-serif"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Sans-serif" w:hAnsi="Sans-serif"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Sans-serif" w:hAnsi="Sans-serif"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Sans-serif" w:hAnsi="Sans-serif"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Sans-serif" w:hAnsi="Sans-serif"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LibreOffice/6.2.5.2$Windows_X86_64 LibreOffice_project/1ec314fa52f458adc18c4f025c545a4e8b22c159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2021-03-17T15:22:59Z</dcterms:created>
  <dc:creator/>
  <dc:description/>
  <dc:language>en-US</dc:language>
  <cp:lastModifiedBy/>
  <dcterms:modified xsi:type="dcterms:W3CDTF">2021-03-17T15:47:30Z</dcterms:modified>
  <cp:revision>9</cp:revision>
  <dc:subject/>
  <dc:title/>
</cp:coreProperties>
</file>