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val="de-DE"/>
        </w:rPr>
        <w:drawing>
          <wp:inline distT="0" distB="0" distL="0" distR="0" wp14:anchorId="11905220" wp14:editId="68AB4581">
            <wp:extent cx="6645910" cy="5538470"/>
            <wp:effectExtent l="12700" t="12700" r="889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bpP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Supplementary </w:t>
      </w:r>
      <w:r>
        <w:rPr>
          <w:rFonts w:cs="Arial Unicode MS"/>
          <w:color w:val="000000"/>
          <w:sz w:val="22"/>
          <w:szCs w:val="22"/>
          <w:u w:color="000000"/>
        </w:rPr>
        <w:t>Figure 11a</w:t>
      </w:r>
      <w:r>
        <w:rPr>
          <w:rFonts w:cs="Arial Unicode MS"/>
          <w:color w:val="000000"/>
          <w:sz w:val="22"/>
          <w:szCs w:val="22"/>
          <w:u w:color="000000"/>
        </w:rPr>
        <w:t>. Differential biological processes under selection because of lost/gained edges across 13 cancer types. p.adjust - bonferroni corrected p-value (</w:t>
      </w:r>
      <w:r>
        <w:rPr>
          <w:rFonts w:cs="Arial Unicode MS"/>
          <w:i/>
          <w:iCs/>
          <w:color w:val="000000"/>
          <w:sz w:val="22"/>
          <w:szCs w:val="22"/>
          <w:u w:color="000000"/>
        </w:rPr>
        <w:t>&lt;</w:t>
      </w:r>
      <w:r>
        <w:rPr>
          <w:rFonts w:cs="Arial Unicode MS"/>
          <w:color w:val="000000"/>
          <w:sz w:val="22"/>
          <w:szCs w:val="22"/>
          <w:u w:color="000000"/>
        </w:rPr>
        <w:t>0.05). The red or blue dots indicate the proportion of proteins involved in a specific biological process in a cancer type relative to the other cancer types.</w:t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jc w:val="center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val="de-DE"/>
        </w:rPr>
        <w:lastRenderedPageBreak/>
        <w:drawing>
          <wp:inline distT="0" distB="0" distL="0" distR="0" wp14:anchorId="0D964254" wp14:editId="587B4989">
            <wp:extent cx="6645910" cy="6645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kP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b/>
          <w:bCs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</w:pPr>
      <w:r>
        <w:rPr>
          <w:rFonts w:cs="Arial Unicode MS"/>
          <w:color w:val="000000"/>
          <w:sz w:val="22"/>
          <w:szCs w:val="22"/>
          <w:u w:color="000000"/>
        </w:rPr>
        <w:t xml:space="preserve">Supplementary </w:t>
      </w:r>
      <w:r>
        <w:rPr>
          <w:rFonts w:cs="Arial Unicode MS"/>
          <w:color w:val="000000"/>
          <w:sz w:val="22"/>
          <w:szCs w:val="22"/>
          <w:u w:color="000000"/>
        </w:rPr>
        <w:t>Figure 11b</w:t>
      </w:r>
      <w:bookmarkStart w:id="0" w:name="_GoBack"/>
      <w:bookmarkEnd w:id="0"/>
      <w:r>
        <w:rPr>
          <w:rFonts w:cs="Arial Unicode MS"/>
          <w:color w:val="000000"/>
          <w:sz w:val="22"/>
          <w:szCs w:val="22"/>
          <w:u w:color="000000"/>
        </w:rPr>
        <w:t>. Differential KEGG pathways under selection because of lost/gained edges across 13 cancer types. p.adjust - bonferroni corrected p-value (</w:t>
      </w:r>
      <w:r>
        <w:rPr>
          <w:rFonts w:cs="Arial Unicode MS"/>
          <w:i/>
          <w:iCs/>
          <w:color w:val="000000"/>
          <w:sz w:val="22"/>
          <w:szCs w:val="22"/>
          <w:u w:color="000000"/>
        </w:rPr>
        <w:t>&lt;</w:t>
      </w:r>
      <w:r>
        <w:rPr>
          <w:rFonts w:cs="Arial Unicode MS"/>
          <w:color w:val="000000"/>
          <w:sz w:val="22"/>
          <w:szCs w:val="22"/>
          <w:u w:color="000000"/>
        </w:rPr>
        <w:t xml:space="preserve">0.05). The red or blue dots indicate the proportion of proteins involved in a specific pathway in a cancer type relative to the other cancer types. </w:t>
      </w:r>
    </w:p>
    <w:p w:rsidR="00C6316B" w:rsidRDefault="00C6316B"/>
    <w:sectPr w:rsidR="00C6316B" w:rsidSect="0063337A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AB"/>
    <w:rsid w:val="007914AE"/>
    <w:rsid w:val="00C060AB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7A16"/>
  <w14:defaultImageDpi w14:val="32767"/>
  <w15:chartTrackingRefBased/>
  <w15:docId w15:val="{2F5424F2-E56C-5849-8BA2-2ED613D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060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1</cp:revision>
  <dcterms:created xsi:type="dcterms:W3CDTF">2018-03-09T13:28:00Z</dcterms:created>
  <dcterms:modified xsi:type="dcterms:W3CDTF">2018-03-09T13:28:00Z</dcterms:modified>
</cp:coreProperties>
</file>