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インボリュート補間機能（G02.2/G03.2）</w:t>
      </w:r>
    </w:p>
    <w:p>
      <w:pPr>
        <w:pStyle w:val="Heading2"/>
      </w:pPr>
      <w:r>
        <w:t>目的・概要</w:t>
      </w:r>
    </w:p>
    <w:p>
      <w:r>
        <w:t>インボリュート補間は、歯車の歯形やカム輪郭などに用いられるインボリュート曲線を正確に加工するための機能である。基円から巻き取った糸の軌跡を表すインボリュート曲線を、分割線形や円弧の近似なしに直接補間する。</w:t>
      </w:r>
    </w:p>
    <w:p>
      <w:pPr>
        <w:pStyle w:val="Heading2"/>
      </w:pPr>
      <w:r>
        <w:t>インターフェース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Gコード/パラメータ</w:t>
            </w:r>
          </w:p>
        </w:tc>
        <w:tc>
          <w:tcPr>
            <w:tcW w:type="dxa" w:w="2880"/>
          </w:tcPr>
          <w:p>
            <w:r>
              <w:t>意味</w:t>
            </w:r>
          </w:p>
        </w:tc>
        <w:tc>
          <w:tcPr>
            <w:tcW w:type="dxa" w:w="2880"/>
          </w:tcPr>
          <w:p>
            <w:r>
              <w:t>備考</w:t>
            </w:r>
          </w:p>
        </w:tc>
      </w:tr>
      <w:tr>
        <w:tc>
          <w:tcPr>
            <w:tcW w:type="dxa" w:w="2880"/>
          </w:tcPr>
          <w:p>
            <w:r>
              <w:t>G02.2</w:t>
            </w:r>
          </w:p>
        </w:tc>
        <w:tc>
          <w:tcPr>
            <w:tcW w:type="dxa" w:w="2880"/>
          </w:tcPr>
          <w:p>
            <w:r>
              <w:t>インボリュート補間（時計回り）</w:t>
            </w:r>
          </w:p>
        </w:tc>
        <w:tc>
          <w:tcPr>
            <w:tcW w:type="dxa" w:w="2880"/>
          </w:tcPr>
          <w:p>
            <w:r>
              <w:t>CW（時計回り）のインボリュート曲線を生成</w:t>
            </w:r>
          </w:p>
        </w:tc>
      </w:tr>
      <w:tr>
        <w:tc>
          <w:tcPr>
            <w:tcW w:type="dxa" w:w="2880"/>
          </w:tcPr>
          <w:p>
            <w:r>
              <w:t>G03.2</w:t>
            </w:r>
          </w:p>
        </w:tc>
        <w:tc>
          <w:tcPr>
            <w:tcW w:type="dxa" w:w="2880"/>
          </w:tcPr>
          <w:p>
            <w:r>
              <w:t>インボリュート補間（反時計回り）</w:t>
            </w:r>
          </w:p>
        </w:tc>
        <w:tc>
          <w:tcPr>
            <w:tcW w:type="dxa" w:w="2880"/>
          </w:tcPr>
          <w:p>
            <w:r>
              <w:t>CCW（反時計回り）のインボリュート曲線を生成</w:t>
            </w:r>
          </w:p>
        </w:tc>
      </w:tr>
      <w:tr>
        <w:tc>
          <w:tcPr>
            <w:tcW w:type="dxa" w:w="2880"/>
          </w:tcPr>
          <w:p>
            <w:r>
              <w:t>I,J,K</w:t>
            </w:r>
          </w:p>
        </w:tc>
        <w:tc>
          <w:tcPr>
            <w:tcW w:type="dxa" w:w="2880"/>
          </w:tcPr>
          <w:p>
            <w:r>
              <w:t>基円中心からの距離</w:t>
            </w:r>
          </w:p>
        </w:tc>
        <w:tc>
          <w:tcPr>
            <w:tcW w:type="dxa" w:w="2880"/>
          </w:tcPr>
          <w:p>
            <w:r>
              <w:t>基円の中心座標を指定</w:t>
            </w:r>
          </w:p>
        </w:tc>
      </w:tr>
      <w:tr>
        <w:tc>
          <w:tcPr>
            <w:tcW w:type="dxa" w:w="2880"/>
          </w:tcPr>
          <w:p>
            <w:r>
              <w:t>R</w:t>
            </w:r>
          </w:p>
        </w:tc>
        <w:tc>
          <w:tcPr>
            <w:tcW w:type="dxa" w:w="2880"/>
          </w:tcPr>
          <w:p>
            <w:r>
              <w:t>基円半径</w:t>
            </w:r>
          </w:p>
        </w:tc>
        <w:tc>
          <w:tcPr>
            <w:tcW w:type="dxa" w:w="2880"/>
          </w:tcPr>
          <w:p>
            <w:r>
              <w:t>インボリュートの基円半径を指定する</w:t>
            </w:r>
          </w:p>
        </w:tc>
      </w:tr>
      <w:tr>
        <w:tc>
          <w:tcPr>
            <w:tcW w:type="dxa" w:w="2880"/>
          </w:tcPr>
          <w:p>
            <w:r>
              <w:t>F</w:t>
            </w:r>
          </w:p>
        </w:tc>
        <w:tc>
          <w:tcPr>
            <w:tcW w:type="dxa" w:w="2880"/>
          </w:tcPr>
          <w:p>
            <w:r>
              <w:t>送り速度</w:t>
            </w:r>
          </w:p>
        </w:tc>
        <w:tc>
          <w:tcPr>
            <w:tcW w:type="dxa" w:w="2880"/>
          </w:tcPr>
          <w:p>
            <w:r>
              <w:t>G94/G93の単位で指定</w:t>
            </w:r>
          </w:p>
        </w:tc>
      </w:tr>
      <w:tr>
        <w:tc>
          <w:tcPr>
            <w:tcW w:type="dxa" w:w="2880"/>
          </w:tcPr>
          <w:p>
            <w:r>
              <w:t>G17/G18/G19</w:t>
            </w:r>
          </w:p>
        </w:tc>
        <w:tc>
          <w:tcPr>
            <w:tcW w:type="dxa" w:w="2880"/>
          </w:tcPr>
          <w:p>
            <w:r>
              <w:t>平面指定</w:t>
            </w:r>
          </w:p>
        </w:tc>
        <w:tc>
          <w:tcPr>
            <w:tcW w:type="dxa" w:w="2880"/>
          </w:tcPr>
          <w:p>
            <w:r>
              <w:t>XY, ZX, YZ平面のいずれかを選択する</w:t>
            </w:r>
          </w:p>
        </w:tc>
      </w:tr>
      <w:tr>
        <w:tc>
          <w:tcPr>
            <w:tcW w:type="dxa" w:w="2880"/>
          </w:tcPr>
          <w:p>
            <w:r>
              <w:t>G02.2/G03.2 ブロック</w:t>
            </w:r>
          </w:p>
        </w:tc>
        <w:tc>
          <w:tcPr>
            <w:tcW w:type="dxa" w:w="2880"/>
          </w:tcPr>
          <w:p>
            <w:r>
              <w:t>終点座標</w:t>
            </w:r>
          </w:p>
        </w:tc>
        <w:tc>
          <w:tcPr>
            <w:tcW w:type="dxa" w:w="2880"/>
          </w:tcPr>
          <w:p>
            <w:r>
              <w:t>加工終了位置をX,Y,Zで指定</w:t>
            </w:r>
          </w:p>
        </w:tc>
      </w:tr>
    </w:tbl>
    <w:p>
      <w:pPr>
        <w:pStyle w:val="Heading2"/>
      </w:pPr>
      <w:r>
        <w:t>処理の流れ</w:t>
      </w:r>
    </w:p>
    <w:p>
      <w:r>
        <w:t>1. インボリュート曲線を加工する平面をG17（XY）、G18（ZX）、G19（YZ）で選択する。</w:t>
        <w:br/>
        <w:t>2. G02.2またはG03.2を指定し、基円中心I/J/Kと基円半径Rを指令する。</w:t>
        <w:br/>
        <w:t>3. インボリュート曲線の終点をX/Y/Zで指定し、Fで送り速度を設定する。</w:t>
        <w:br/>
        <w:t>4. 制御装置は基円から糸を巻き取るような軌跡を生成し、インボリュート曲線を正確に補間する【280965304099816†L115-L123】。</w:t>
        <w:br/>
        <w:t>5. 補間終了後は通常の補間モードに復帰する。</w:t>
      </w:r>
    </w:p>
    <w:p>
      <w:pPr>
        <w:pStyle w:val="Heading2"/>
      </w:pPr>
      <w:r>
        <w:t>設計上の留意事項</w:t>
      </w:r>
    </w:p>
    <w:p>
      <w:r>
        <w:t>・インボリュート補間は旋盤およびカム研削など特殊な加工に用いられるため、対応オプションが必要となる。</w:t>
        <w:br/>
        <w:t>・基円半径Rや終点座標の指定は加工部品の設計値に基づいて正確に入力する。</w:t>
        <w:br/>
        <w:t>・インボリュート補間中は工具半径補正や他の補間命令との併用に制限がある。</w:t>
      </w:r>
    </w:p>
    <w:p>
      <w:pPr>
        <w:pStyle w:val="Heading2"/>
      </w:pPr>
      <w:r>
        <w:t>・G02.2/G03.2: インボリュート補間を開始する。基円中心をI,J,Kで、基円半径をRで指定する。</w:t>
      </w:r>
    </w:p>
    <w:p>
      <w:pPr>
        <w:pStyle w:val="Heading2"/>
      </w:pPr>
      <w:r>
        <w:t>・終点はX,Y,Zで指令し、Fで送り速度を指定する。</w:t>
      </w:r>
    </w:p>
    <w:p>
      <w:pPr>
        <w:pStyle w:val="Heading2"/>
      </w:pPr>
      <w:r>
        <w:t>・基円半径や終点座標は歯車設計値に基づき正確に入力し、補間途中で半径が変わらないよう注意します。</w:t>
      </w:r>
    </w:p>
    <w:p>
      <w:pPr>
        <w:pStyle w:val="Heading2"/>
      </w:pPr>
      <w:r>
        <w:t>・インボリュート補間中は工具半径補正(G41/G42)や他の特殊補間モードを使用しないでください。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