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一方向位置決め機能（G60）</w:t>
      </w:r>
    </w:p>
    <w:p>
      <w:pPr>
        <w:pStyle w:val="Heading2"/>
      </w:pPr>
      <w:r>
        <w:t>目的・概要</w:t>
      </w:r>
    </w:p>
    <w:p>
      <w:r>
        <w:t>バックラッシや片方向遊びの影響を抑えるため、常に同じ方向から位置決めを行う機能です。過走量と方向をパラメータで設定し、目標位置に到達する直前で停止後、指定方向から所定位置に進入します。</w:t>
      </w:r>
    </w:p>
    <w:p>
      <w:pPr>
        <w:pStyle w:val="Heading2"/>
      </w:pPr>
      <w:r>
        <w:t>インターフェース仕様</w:t>
      </w:r>
    </w:p>
    <w:tbl>
      <w:tblPr>
        <w:tblW w:type="auto" w:w="0"/>
        <w:tblLook w:firstColumn="1" w:firstRow="1" w:lastColumn="0" w:lastRow="0" w:noHBand="0" w:noVBand="1" w:val="04A0"/>
      </w:tblPr>
      <w:tblGrid>
        <w:gridCol w:w="4320"/>
        <w:gridCol w:w="4320"/>
      </w:tblGrid>
      <w:tr>
        <w:tc>
          <w:tcPr>
            <w:tcW w:type="dxa" w:w="4320"/>
          </w:tcPr>
          <w:p>
            <w:r>
              <w:t>項目</w:t>
            </w:r>
          </w:p>
        </w:tc>
        <w:tc>
          <w:tcPr>
            <w:tcW w:type="dxa" w:w="4320"/>
          </w:tcPr>
          <w:p>
            <w:r>
              <w:t>内容</w:t>
            </w:r>
          </w:p>
        </w:tc>
      </w:tr>
      <w:tr>
        <w:tc>
          <w:tcPr>
            <w:tcW w:type="dxa" w:w="4320"/>
          </w:tcPr>
          <w:p>
            <w:r>
              <w:t>Gコード形式</w:t>
            </w:r>
          </w:p>
        </w:tc>
        <w:tc>
          <w:tcPr>
            <w:tcW w:type="dxa" w:w="4320"/>
          </w:tcPr>
          <w:p>
            <w:r>
              <w:t>G60 IP_ ;</w:t>
              <w:br/>
              <w:t>IP: 絶対指令の場合は目標座標、インクリメンタル指令の場合は移動距離</w:t>
            </w:r>
          </w:p>
        </w:tc>
      </w:tr>
      <w:tr>
        <w:tc>
          <w:tcPr>
            <w:tcW w:type="dxa" w:w="4320"/>
          </w:tcPr>
          <w:p>
            <w:r>
              <w:t>過走量設定</w:t>
            </w:r>
          </w:p>
        </w:tc>
        <w:tc>
          <w:tcPr>
            <w:tcW w:type="dxa" w:w="4320"/>
          </w:tcPr>
          <w:p>
            <w:r>
              <w:t>パラメータで過走量および位置決め方向を設定可能</w:t>
            </w:r>
          </w:p>
        </w:tc>
      </w:tr>
      <w:tr>
        <w:tc>
          <w:tcPr>
            <w:tcW w:type="dxa" w:w="4320"/>
          </w:tcPr>
          <w:p>
            <w:r>
              <w:t>モーダル化</w:t>
            </w:r>
          </w:p>
        </w:tc>
        <w:tc>
          <w:tcPr>
            <w:tcW w:type="dxa" w:w="4320"/>
          </w:tcPr>
          <w:p>
            <w:r>
              <w:t>パラメータ設定によりG60をグループ01のモーダルGコードとして使用可能</w:t>
            </w:r>
          </w:p>
        </w:tc>
      </w:tr>
    </w:tbl>
    <w:p>
      <w:pPr>
        <w:pStyle w:val="Heading2"/>
      </w:pPr>
      <w:r>
        <w:t>処理の流れ</w:t>
      </w:r>
    </w:p>
    <w:p>
      <w:r>
        <w:t>1. パラメータで位置決め方向と過走量を設定します。</w:t>
        <w:br/>
        <w:t>2. プログラム内でG60 IP_を指定すると、一度目標点よりも過走量だけ行き過ぎてから設定方向に戻り、目標位置で停止します。</w:t>
        <w:br/>
        <w:t>3. パラメータを変更することでG60をモーダル化し、各ブロックごとに記述しなくても一方向位置決めを維持できます。</w:t>
      </w:r>
    </w:p>
    <w:p>
      <w:pPr>
        <w:pStyle w:val="Heading2"/>
      </w:pPr>
      <w:r>
        <w:t>設計上の留意事項</w:t>
      </w:r>
    </w:p>
    <w:p>
      <w:r>
        <w:t>- 一方向位置決めは位置決めブロック（G00）などで用います。補間動作とは併用しません。</w:t>
      </w:r>
    </w:p>
    <w:p>
      <w:r>
        <w:t>- 過走量および方向は機械のバックラッシ量に応じて適切に設定する必要があります。</w:t>
      </w:r>
    </w:p>
    <w:p>
      <w:r>
        <w:t>- モーダル化している場合でも、異なる方向から位置決めしたい場合はG60を都度記述します。</w:t>
      </w:r>
    </w:p>
    <w:p>
      <w:r>
        <w:t>引用: 【95414512717278†L14897-L14904】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