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円弧螺旋補間B機能</w:t>
      </w:r>
    </w:p>
    <w:p>
      <w:pPr>
        <w:pStyle w:val="Heading2"/>
      </w:pPr>
      <w:r>
        <w:t>目的・概要</w:t>
      </w:r>
    </w:p>
    <w:p>
      <w:r>
        <w:t>本機能は、円弧形状に沿って螺旋状の溝やねじを加工するための補間機能で、通常の指数補間やインボリュート補間とは異なる動作を行います。</w:t>
        <w:br/>
        <w:t>円弧螺旋補間Bでは、選択した平面上の円弧運動に対し、軸方向への同時移動を伴うことで螺旋状の加工を行います。主に円筒表面上に溝やリードを形成する際に使用します。</w:t>
      </w:r>
    </w:p>
    <w:p>
      <w:pPr>
        <w:pStyle w:val="Heading2"/>
      </w:pPr>
      <w:r>
        <w:t>インターフェース仕様</w:t>
      </w:r>
    </w:p>
    <w:tbl>
      <w:tblPr>
        <w:tblW w:type="auto" w:w="0"/>
        <w:tblLook w:firstColumn="1" w:firstRow="1" w:lastColumn="0" w:lastRow="0" w:noHBand="0" w:noVBand="1" w:val="04A0"/>
      </w:tblPr>
      <w:tblGrid>
        <w:gridCol w:w="2880"/>
        <w:gridCol w:w="2880"/>
        <w:gridCol w:w="2880"/>
      </w:tblGrid>
      <w:tr>
        <w:tc>
          <w:tcPr>
            <w:tcW w:type="dxa" w:w="2880"/>
          </w:tcPr>
          <w:p>
            <w:r>
              <w:t>平面選択</w:t>
            </w:r>
          </w:p>
        </w:tc>
        <w:tc>
          <w:tcPr>
            <w:tcW w:type="dxa" w:w="2880"/>
          </w:tcPr>
          <w:p>
            <w:r>
              <w:t>G17/G18/G19</w:t>
            </w:r>
          </w:p>
        </w:tc>
        <w:tc>
          <w:tcPr>
            <w:tcW w:type="dxa" w:w="2880"/>
          </w:tcPr>
          <w:p>
            <w:r>
              <w:t>加工する螺旋平面を選択する（XY, ZX, YZ）</w:t>
            </w:r>
          </w:p>
        </w:tc>
      </w:tr>
      <w:tr>
        <w:tc>
          <w:tcPr>
            <w:tcW w:type="dxa" w:w="2880"/>
          </w:tcPr>
          <w:p>
            <w:r>
              <w:t>円弧螺旋補間B開始</w:t>
            </w:r>
          </w:p>
        </w:tc>
        <w:tc>
          <w:tcPr>
            <w:tcW w:type="dxa" w:w="2880"/>
          </w:tcPr>
          <w:p>
            <w:r>
              <w:t>G2.4 / G3.4</w:t>
            </w:r>
          </w:p>
        </w:tc>
        <w:tc>
          <w:tcPr>
            <w:tcW w:type="dxa" w:w="2880"/>
          </w:tcPr>
          <w:p>
            <w:r>
              <w:t>時計回り (G02.4) ／反時計回り (G03.4) の円弧に対して同時に軸方向へ進行。</w:t>
            </w:r>
          </w:p>
        </w:tc>
      </w:tr>
      <w:tr>
        <w:tc>
          <w:tcPr>
            <w:tcW w:type="dxa" w:w="2880"/>
          </w:tcPr>
          <w:p>
            <w:r>
              <w:t>指令項目</w:t>
            </w:r>
          </w:p>
        </w:tc>
        <w:tc>
          <w:tcPr>
            <w:tcW w:type="dxa" w:w="2880"/>
          </w:tcPr>
          <w:p>
            <w:r>
              <w:t>X,Y,Z,I,J,K,R,F,Pitch</w:t>
            </w:r>
          </w:p>
        </w:tc>
        <w:tc>
          <w:tcPr>
            <w:tcW w:type="dxa" w:w="2880"/>
          </w:tcPr>
          <w:p>
            <w:r>
              <w:t>X,Y,Z：終点座標／ I,J,K：円中心の相対座標／ R：円半径または終点指定／ F：送り速度／Pitch：螺旋ピッチ（軸方向移動量）</w:t>
            </w:r>
          </w:p>
        </w:tc>
      </w:tr>
      <w:tr>
        <w:tc>
          <w:tcPr>
            <w:tcW w:type="dxa" w:w="2880"/>
          </w:tcPr>
          <w:p>
            <w:r>
              <w:t>終了</w:t>
            </w:r>
          </w:p>
        </w:tc>
        <w:tc>
          <w:tcPr>
            <w:tcW w:type="dxa" w:w="2880"/>
          </w:tcPr>
          <w:p>
            <w:r>
              <w:t>G00/G01 など</w:t>
            </w:r>
          </w:p>
        </w:tc>
        <w:tc>
          <w:tcPr>
            <w:tcW w:type="dxa" w:w="2880"/>
          </w:tcPr>
          <w:p>
            <w:r>
              <w:t>螺旋補間完了後は通常の直線または円弧補間に戻ります。</w:t>
            </w:r>
          </w:p>
        </w:tc>
      </w:tr>
    </w:tbl>
    <w:p>
      <w:pPr>
        <w:pStyle w:val="Heading2"/>
      </w:pPr>
      <w:r>
        <w:t>処理の流れ</w:t>
      </w:r>
    </w:p>
    <w:p>
      <w:pPr>
        <w:pStyle w:val="ListNumber"/>
      </w:pPr>
      <w:r>
        <w:t>適切な平面（G17/G18/G19）を選択し、円弧螺旋補間Bを開始するブロックで G02.4 または G03.4 を指定します。</w:t>
        <w:br/>
        <w:t>G02.4/G03.4 のブロックでは、終点座標（X,Y,Z）、中心座標や半径（I,J,K,R）、軸方向ピッチ量、および送り速度Fを指定します。</w:t>
        <w:br/>
        <w:t>制御は選択された平面の円弧運動と同時に軸方向への直線運動を組み合わせ、螺旋状の経路を生成します。</w:t>
        <w:br/>
        <w:t>螺旋補間が完了したら、G00やG01等の通常補間指令で次の加工へ移ります。</w:t>
      </w:r>
    </w:p>
    <w:p>
      <w:pPr>
        <w:pStyle w:val="Heading2"/>
      </w:pPr>
      <w:r>
        <w:t>設計上の留意点</w:t>
      </w:r>
    </w:p>
    <w:p>
      <w:pPr>
        <w:pStyle w:val="ListBullet"/>
      </w:pPr>
      <w:r>
        <w:t>円弧螺旋補間では、選択平面と軸方向が独立している必要があり、I,J,KやRの指定が矛盾しないよう注意します。</w:t>
      </w:r>
    </w:p>
    <w:p>
      <w:pPr>
        <w:pStyle w:val="ListBullet"/>
      </w:pPr>
      <w:r>
        <w:t>ピッチ量が過大になると円弧半径に対する螺旋角度が大きくなり、加工精度が低下するため適切なピッチ設定が必要です。</w:t>
      </w:r>
    </w:p>
    <w:p>
      <w:pPr>
        <w:pStyle w:val="ListBullet"/>
      </w:pPr>
      <w:r>
        <w:t>工具半径補正や他の補間機能と併用する場合、補正方向や残留補正に注意し、不要な干渉を防止します。</w:t>
      </w:r>
    </w:p>
    <w:p>
      <w:pPr>
        <w:pStyle w:val="ListBullet"/>
      </w:pPr>
      <w:r>
        <w:t>高速加工中に使用する際は、モーションプランナーの性能や機械の加減速能力を確認し、過負荷を避けます。</w:t>
      </w:r>
    </w:p>
    <w:p>
      <w:pPr>
        <w:pStyle w:val="Heading2"/>
      </w:pPr>
      <w:r>
        <w:t>参考文献</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