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径・半径指定切換機能</w:t>
      </w:r>
    </w:p>
    <w:p>
      <w:r>
        <w:t>この機能は、旋盤加工において外径や内径を径指令とするか半径指令とするかを運転中に切り替えるためのものである。通常、パラメータDIAx(No.1006#3)により各軸の指定方式（半径/直径）が固定されるが、本機能を使用するとGコードまたは信号で動的に切り替えることができる。</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パラメータ/ビット</w:t>
            </w:r>
          </w:p>
        </w:tc>
        <w:tc>
          <w:tcPr>
            <w:tcW w:type="dxa" w:w="2160"/>
          </w:tcPr>
          <w:p>
            <w:r>
              <w:t>機能概要</w:t>
            </w:r>
          </w:p>
        </w:tc>
        <w:tc>
          <w:tcPr>
            <w:tcW w:type="dxa" w:w="2160"/>
          </w:tcPr>
          <w:p>
            <w:r>
              <w:t>設定値</w:t>
            </w:r>
          </w:p>
        </w:tc>
        <w:tc>
          <w:tcPr>
            <w:tcW w:type="dxa" w:w="2160"/>
          </w:tcPr>
          <w:p>
            <w:r>
              <w:t>備考</w:t>
            </w:r>
          </w:p>
        </w:tc>
      </w:tr>
      <w:tr>
        <w:tc>
          <w:tcPr>
            <w:tcW w:type="dxa" w:w="2160"/>
          </w:tcPr>
          <w:p>
            <w:r>
              <w:t>PGD (#3194#5)</w:t>
            </w:r>
          </w:p>
        </w:tc>
        <w:tc>
          <w:tcPr>
            <w:tcW w:type="dxa" w:w="2160"/>
          </w:tcPr>
          <w:p>
            <w:r>
              <w:t>プログラムによる径/半径指定切換(G10.9)の有効化</w:t>
            </w:r>
          </w:p>
        </w:tc>
        <w:tc>
          <w:tcPr>
            <w:tcW w:type="dxa" w:w="2160"/>
          </w:tcPr>
          <w:p>
            <w:r>
              <w:t>0: 無効</w:t>
              <w:br/>
              <w:t>1: 有効</w:t>
            </w:r>
          </w:p>
        </w:tc>
        <w:tc>
          <w:tcPr>
            <w:tcW w:type="dxa" w:w="2160"/>
          </w:tcPr>
          <w:p>
            <w:r>
              <w:t>G10.9による径/半径指定切換を使用するには1に設定する。オプションが必要であり、PGD=1にすると信号による切換は無効となる【95414512717278†L3156-L3273】【95414512717278†L2230-L2245】。</w:t>
            </w:r>
          </w:p>
        </w:tc>
      </w:tr>
      <w:tr>
        <w:tc>
          <w:tcPr>
            <w:tcW w:type="dxa" w:w="2160"/>
          </w:tcPr>
          <w:p>
            <w:r>
              <w:t>DPA (#3194#2)</w:t>
            </w:r>
          </w:p>
        </w:tc>
        <w:tc>
          <w:tcPr>
            <w:tcW w:type="dxa" w:w="2160"/>
          </w:tcPr>
          <w:p>
            <w:r>
              <w:t>切換中の絶対/相対座標および残り移動量表示の方法</w:t>
            </w:r>
          </w:p>
        </w:tc>
        <w:tc>
          <w:tcPr>
            <w:tcW w:type="dxa" w:w="2160"/>
          </w:tcPr>
          <w:p>
            <w:r>
              <w:t>0: 切換中の仕様に従って表示</w:t>
              <w:br/>
              <w:t>1: パラメータDIAxの設定に従って表示</w:t>
            </w:r>
          </w:p>
        </w:tc>
        <w:tc>
          <w:tcPr>
            <w:tcW w:type="dxa" w:w="2160"/>
          </w:tcPr>
          <w:p>
            <w:r>
              <w:t>切換中に画面に表示する座標値の基準を選択する【95414512717278†L3156-L3273】。</w:t>
            </w:r>
          </w:p>
        </w:tc>
      </w:tr>
      <w:tr>
        <w:tc>
          <w:tcPr>
            <w:tcW w:type="dxa" w:w="2160"/>
          </w:tcPr>
          <w:p>
            <w:r>
              <w:t>DPM (#3194#3)</w:t>
            </w:r>
          </w:p>
        </w:tc>
        <w:tc>
          <w:tcPr>
            <w:tcW w:type="dxa" w:w="2160"/>
          </w:tcPr>
          <w:p>
            <w:r>
              <w:t>切換中の機械座標表示の方法</w:t>
            </w:r>
          </w:p>
        </w:tc>
        <w:tc>
          <w:tcPr>
            <w:tcW w:type="dxa" w:w="2160"/>
          </w:tcPr>
          <w:p>
            <w:r>
              <w:t>0: パラメータDIAxの設定に従う</w:t>
              <w:br/>
              <w:t>1: 切換中の仕様に従う</w:t>
            </w:r>
          </w:p>
        </w:tc>
        <w:tc>
          <w:tcPr>
            <w:tcW w:type="dxa" w:w="2160"/>
          </w:tcPr>
          <w:p>
            <w:r>
              <w:t>切換中に機械座標をどの仕様で表示するかを選ぶ【95414512717278†L3156-L3273】。</w:t>
            </w:r>
          </w:p>
        </w:tc>
      </w:tr>
    </w:tbl>
    <w:p>
      <w:pPr>
        <w:pStyle w:val="Heading2"/>
      </w:pPr>
      <w:r>
        <w:t>インターフェース</w:t>
      </w:r>
    </w:p>
    <w:p>
      <w:r>
        <w:t>切換は以下の2通りの方法で行う:</w:t>
        <w:br/>
        <w:t>• Gコードを用いるプログラムによる切換: `G10.9 IP_ ;`</w:t>
        <w:br/>
        <w:t xml:space="preserve">    - IP_ : 切換対象軸のアドレスと指令値。指令値0を半径指定、1を径指定とする。</w:t>
        <w:br/>
        <w:t xml:space="preserve">    - G10.9は単独ブロックで記述し、他のGコードと併記しない</w:t>
        <w:br/>
        <w:t xml:space="preserve">    - 指令値に小数点を付けない</w:t>
        <w:br/>
        <w:t>• 外部信号による切換: 機械ビルダー提供のスイッチ・信号で切換を指示する。この場合、PGDビットを0に設定する。</w:t>
      </w:r>
    </w:p>
    <w:p>
      <w:pPr>
        <w:pStyle w:val="Heading2"/>
      </w:pPr>
      <w:r>
        <w:t>信号</w:t>
      </w:r>
    </w:p>
    <w:tbl>
      <w:tblPr>
        <w:tblW w:type="auto" w:w="0"/>
        <w:tblLook w:firstColumn="1" w:firstRow="1" w:lastColumn="0" w:lastRow="0" w:noHBand="0" w:noVBand="1" w:val="04A0"/>
      </w:tblPr>
      <w:tblGrid>
        <w:gridCol w:w="2880"/>
        <w:gridCol w:w="2880"/>
        <w:gridCol w:w="2880"/>
      </w:tblGrid>
      <w:tr>
        <w:tc>
          <w:tcPr>
            <w:tcW w:type="dxa" w:w="2880"/>
          </w:tcPr>
          <w:p>
            <w:r>
              <w:t>信号名</w:t>
            </w:r>
          </w:p>
        </w:tc>
        <w:tc>
          <w:tcPr>
            <w:tcW w:type="dxa" w:w="2880"/>
          </w:tcPr>
          <w:p>
            <w:r>
              <w:t>分類</w:t>
            </w:r>
          </w:p>
        </w:tc>
        <w:tc>
          <w:tcPr>
            <w:tcW w:type="dxa" w:w="2880"/>
          </w:tcPr>
          <w:p>
            <w:r>
              <w:t>内容</w:t>
            </w:r>
          </w:p>
        </w:tc>
      </w:tr>
      <w:tr>
        <w:tc>
          <w:tcPr>
            <w:tcW w:type="dxa" w:w="2880"/>
          </w:tcPr>
          <w:p>
            <w:r>
              <w:t>DM1〜DM8 &lt;Fn296&gt;</w:t>
            </w:r>
          </w:p>
        </w:tc>
        <w:tc>
          <w:tcPr>
            <w:tcW w:type="dxa" w:w="2880"/>
          </w:tcPr>
          <w:p>
            <w:r>
              <w:t>出力</w:t>
            </w:r>
          </w:p>
        </w:tc>
        <w:tc>
          <w:tcPr>
            <w:tcW w:type="dxa" w:w="2880"/>
          </w:tcPr>
          <w:p>
            <w:r>
              <w:t>各軸の径/半径指定切換進行中を示す。仕様が切換されている間は1になり、通常時は0【95414512717278†L2238-L2245】。</w:t>
            </w:r>
          </w:p>
        </w:tc>
      </w:tr>
      <w:tr>
        <w:tc>
          <w:tcPr>
            <w:tcW w:type="dxa" w:w="2880"/>
          </w:tcPr>
          <w:p>
            <w:r>
              <w:t>径/半径指定切換信号</w:t>
            </w:r>
          </w:p>
        </w:tc>
        <w:tc>
          <w:tcPr>
            <w:tcW w:type="dxa" w:w="2880"/>
          </w:tcPr>
          <w:p>
            <w:r>
              <w:t>入力</w:t>
            </w:r>
          </w:p>
        </w:tc>
        <w:tc>
          <w:tcPr>
            <w:tcW w:type="dxa" w:w="2880"/>
          </w:tcPr>
          <w:p>
            <w:r>
              <w:t>外部から径指定か半径指定かを切換える信号。PGD=0の時のみ有効。</w:t>
            </w:r>
          </w:p>
        </w:tc>
      </w:tr>
    </w:tbl>
    <w:p>
      <w:pPr>
        <w:pStyle w:val="Heading2"/>
      </w:pPr>
      <w:r>
        <w:t>注意事項・制約</w:t>
      </w:r>
    </w:p>
    <w:p>
      <w:r>
        <w:t>* 切換はバッファプログラム実行中や軸移動中には行えず、実行するとアラームPS5320が発生する【95414512717278†L3156-L3273】。</w:t>
        <w:br/>
        <w:t>* 切削送り速度は半径基準で指定するため、径指定中も半径換算の送りとなる。</w:t>
        <w:br/>
        <w:t>* パラメータ、オフセット、ワーク座標系、グラフィック画面の縮尺表示はDIAxの設定に従うため、切換しても変更されない【95414512717278†L2230-L2245】。</w:t>
        <w:br/>
        <w:t>* オフセットデータについてはパラメータNo.5004のORCおよびODIビットが優先する。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