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高速加工制御機能 (G05/G05.1/G05.2/G08)</w:t>
      </w:r>
    </w:p>
    <w:p>
      <w:pPr>
        <w:pStyle w:val="Heading2"/>
      </w:pPr>
      <w:r>
        <w:t>目的・概要</w:t>
      </w:r>
    </w:p>
    <w:p>
      <w:r>
        <w:t>高速加工制御機能は、高速・高精度加工を実現する各種モードを統合的に活用するための機能です。</w:t>
      </w:r>
    </w:p>
    <w:p>
      <w:r>
        <w:t>高精度輪郭制御（G05 P10000）、高速加工モード（G05 P3）、AI 高精度輪郭制御（G05.1 Q1）、</w:t>
      </w:r>
    </w:p>
    <w:p>
      <w:r>
        <w:t>自由曲面高精度モード（G05.2 Q2）、および高速スムージング（G08 P1/P2）を組み合わせることで、</w:t>
      </w:r>
    </w:p>
    <w:p>
      <w:r>
        <w:t>加工内容に応じて最適な軌跡制御を行い、工具寿命や加工品質の向上を図ります。</w:t>
      </w:r>
    </w:p>
    <w:p>
      <w:pPr>
        <w:pStyle w:val="Heading2"/>
      </w:pPr>
      <w:r>
        <w:t>インターフェース</w:t>
      </w:r>
    </w:p>
    <w:p>
      <w:r>
        <w:t>・高速・高精度輪郭制御 (HPCC) を開始するには G05 P10000 を指定し、終了時は G05 P0 を指令する【186093765890249†L157-L179】。</w:t>
      </w:r>
    </w:p>
    <w:p>
      <w:r>
        <w:t>・高速加工モードを開始するには G05 P3 を用いる。これは機械の加減速を高応答に制御し、粗加工やドリルサイクルを高速で行う際に使用する【186093765890249†L157-L179】。</w:t>
      </w:r>
    </w:p>
    <w:p>
      <w:r>
        <w:t>・AI 高精度輪郭制御を併用する場合は G05.1 Q1 (許容誤差 E) を指定し、解除は G05.1 Q0 で行う【265824778984054†L40-L60】。</w:t>
      </w:r>
    </w:p>
    <w:p>
      <w:r>
        <w:t>・自由曲面高精度モードは G05.2 Q2 X0 Y0 Z0 で開始し、適用軸を指定する。終了時は G05.1 Q0 を記述する【186093765890249†L157-L179】。</w:t>
      </w:r>
    </w:p>
    <w:p>
      <w:r>
        <w:t>・高速スムージング／ナノスムージングは G08 P1 または G08 P2 で開始し、G08 P0 で終了する。これらは加減速のジャークを抑え、滑らかな送りを実現する【651918879434038†L1104-L1120】。</w:t>
      </w:r>
    </w:p>
    <w:p>
      <w:r>
        <w:t>・各モードの指定は単独ブロックで行い、他の G コードや補正を同時に記述しない。また、モード開始前に HPCC (G05 P10000) を先に有効化しておく。</w:t>
      </w:r>
    </w:p>
    <w:tbl>
      <w:tblPr>
        <w:tblStyle w:val="TableGrid"/>
        <w:tblW w:type="auto" w:w="0"/>
        <w:tblLook w:firstColumn="1" w:firstRow="1" w:lastColumn="0" w:lastRow="0" w:noHBand="0" w:noVBand="1" w:val="04A0"/>
      </w:tblPr>
      <w:tblGrid>
        <w:gridCol w:w="4320"/>
        <w:gridCol w:w="4320"/>
      </w:tblGrid>
      <w:tr>
        <w:tc>
          <w:tcPr>
            <w:tcW w:type="dxa" w:w="4320"/>
          </w:tcPr>
          <w:p>
            <w:r>
              <w:t>Gコード</w:t>
            </w:r>
          </w:p>
        </w:tc>
        <w:tc>
          <w:tcPr>
            <w:tcW w:type="dxa" w:w="4320"/>
          </w:tcPr>
          <w:p>
            <w:r>
              <w:t>意味</w:t>
            </w:r>
          </w:p>
        </w:tc>
      </w:tr>
      <w:tr>
        <w:tc>
          <w:tcPr>
            <w:tcW w:type="dxa" w:w="4320"/>
          </w:tcPr>
          <w:p>
            <w:r>
              <w:t>G05 P10000</w:t>
            </w:r>
          </w:p>
        </w:tc>
        <w:tc>
          <w:tcPr>
            <w:tcW w:type="dxa" w:w="4320"/>
          </w:tcPr>
          <w:p>
            <w:r>
              <w:t>高精度輪郭制御（HPCC）を開始。</w:t>
            </w:r>
          </w:p>
        </w:tc>
      </w:tr>
      <w:tr>
        <w:tc>
          <w:tcPr>
            <w:tcW w:type="dxa" w:w="4320"/>
          </w:tcPr>
          <w:p>
            <w:r>
              <w:t>G05 P3</w:t>
            </w:r>
          </w:p>
        </w:tc>
        <w:tc>
          <w:tcPr>
            <w:tcW w:type="dxa" w:w="4320"/>
          </w:tcPr>
          <w:p>
            <w:r>
              <w:t>高速加工モードを開始。</w:t>
            </w:r>
          </w:p>
        </w:tc>
      </w:tr>
      <w:tr>
        <w:tc>
          <w:tcPr>
            <w:tcW w:type="dxa" w:w="4320"/>
          </w:tcPr>
          <w:p>
            <w:r>
              <w:t>G05 P0</w:t>
            </w:r>
          </w:p>
        </w:tc>
        <w:tc>
          <w:tcPr>
            <w:tcW w:type="dxa" w:w="4320"/>
          </w:tcPr>
          <w:p>
            <w:r>
              <w:t>HPCCまたは高速加工モードを終了。</w:t>
            </w:r>
          </w:p>
        </w:tc>
      </w:tr>
      <w:tr>
        <w:tc>
          <w:tcPr>
            <w:tcW w:type="dxa" w:w="4320"/>
          </w:tcPr>
          <w:p>
            <w:r>
              <w:t>G05.1 Q1</w:t>
            </w:r>
          </w:p>
        </w:tc>
        <w:tc>
          <w:tcPr>
            <w:tcW w:type="dxa" w:w="4320"/>
          </w:tcPr>
          <w:p>
            <w:r>
              <w:t>AI 高精度輪郭制御（AICC/AI HPCC）を開始。</w:t>
            </w:r>
          </w:p>
        </w:tc>
      </w:tr>
      <w:tr>
        <w:tc>
          <w:tcPr>
            <w:tcW w:type="dxa" w:w="4320"/>
          </w:tcPr>
          <w:p>
            <w:r>
              <w:t>G05.1 Q0</w:t>
            </w:r>
          </w:p>
        </w:tc>
        <w:tc>
          <w:tcPr>
            <w:tcW w:type="dxa" w:w="4320"/>
          </w:tcPr>
          <w:p>
            <w:r>
              <w:t>AI 高精度輪郭制御および自由曲面高精度モードを終了。</w:t>
            </w:r>
          </w:p>
        </w:tc>
      </w:tr>
      <w:tr>
        <w:tc>
          <w:tcPr>
            <w:tcW w:type="dxa" w:w="4320"/>
          </w:tcPr>
          <w:p>
            <w:r>
              <w:t>G05.2 Q2 X0 Y0 Z0</w:t>
            </w:r>
          </w:p>
        </w:tc>
        <w:tc>
          <w:tcPr>
            <w:tcW w:type="dxa" w:w="4320"/>
          </w:tcPr>
          <w:p>
            <w:r>
              <w:t>自由曲面高精度モードを開始。</w:t>
            </w:r>
          </w:p>
        </w:tc>
      </w:tr>
      <w:tr>
        <w:tc>
          <w:tcPr>
            <w:tcW w:type="dxa" w:w="4320"/>
          </w:tcPr>
          <w:p>
            <w:r>
              <w:t>G08 P1</w:t>
            </w:r>
          </w:p>
        </w:tc>
        <w:tc>
          <w:tcPr>
            <w:tcW w:type="dxa" w:w="4320"/>
          </w:tcPr>
          <w:p>
            <w:r>
              <w:t>標準スムージングを開始。</w:t>
            </w:r>
          </w:p>
        </w:tc>
      </w:tr>
      <w:tr>
        <w:tc>
          <w:tcPr>
            <w:tcW w:type="dxa" w:w="4320"/>
          </w:tcPr>
          <w:p>
            <w:r>
              <w:t>G08 P2</w:t>
            </w:r>
          </w:p>
        </w:tc>
        <w:tc>
          <w:tcPr>
            <w:tcW w:type="dxa" w:w="4320"/>
          </w:tcPr>
          <w:p>
            <w:r>
              <w:t>高精度スムージングを開始。</w:t>
            </w:r>
          </w:p>
        </w:tc>
      </w:tr>
      <w:tr>
        <w:tc>
          <w:tcPr>
            <w:tcW w:type="dxa" w:w="4320"/>
          </w:tcPr>
          <w:p>
            <w:r>
              <w:t>G08 P0</w:t>
            </w:r>
          </w:p>
        </w:tc>
        <w:tc>
          <w:tcPr>
            <w:tcW w:type="dxa" w:w="4320"/>
          </w:tcPr>
          <w:p>
            <w:r>
              <w:t>スムージングを終了。</w:t>
            </w:r>
          </w:p>
        </w:tc>
      </w:tr>
    </w:tbl>
    <w:p>
      <w:pPr>
        <w:pStyle w:val="Heading2"/>
      </w:pPr>
      <w:r>
        <w:t>処理の流れ</w:t>
      </w:r>
    </w:p>
    <w:p>
      <w:r>
        <w:t>1. プログラム冒頭または対象領域の前で、必要な制御モードを単独ブロックで指定する。高精度輪郭制御 (HPCC) を有効にする場合は G05 P10000、続けて高速加工、AI、自由曲面、スムージング等のモードを設定する。</w:t>
      </w:r>
    </w:p>
    <w:p>
      <w:r>
        <w:t>2. モード開始後、通常の直線 (G01) や円弧 (G02/G03) の補間命令を記述するが、制御装置は最大数千〜1万ブロックを先読みし、ジャーク制御や加減速パラメータを自動調整することで滑らかな工具軌跡を生成する【896415275761092†L350-L369】【896415275761092†L395-L404】。</w:t>
      </w:r>
    </w:p>
    <w:p>
      <w:r>
        <w:t>3. 工具半径補正や座標変換を併用する場合は、補正開始 (G41/G42) および終了 (G40) を HPCC の範囲内にネストさせ、新しい D ワードを含むブロックから補正値が有効になる【325903956359959†L74-L86】【325903956359959†L89-L90】。</w:t>
      </w:r>
    </w:p>
    <w:p>
      <w:r>
        <w:t>4. モードを終了する位置で対応する終了コード (G05 P0、G05.1 Q0、G05.2 Q0、G08 P0) を単独ブロックで指定し、通常モードに戻る。</w:t>
      </w:r>
    </w:p>
    <w:p>
      <w:pPr>
        <w:pStyle w:val="ListNumber"/>
      </w:pPr>
      <w:r>
        <w:t>加工対象や要求精度に応じて、対象モードの開始コードをブロック前に指定します。</w:t>
      </w:r>
    </w:p>
    <w:p>
      <w:pPr>
        <w:pStyle w:val="ListNumber"/>
      </w:pPr>
      <w:r>
        <w:t>指定後のプログラムでは通常の直線・円弧補間を記述しますが、制御装置が選択されたモードに従って</w:t>
        <w:br/>
        <w:t>先読み・加減速制御・AI推定・曲線補間などを自動的に行います。</w:t>
      </w:r>
    </w:p>
    <w:p>
      <w:pPr>
        <w:pStyle w:val="ListNumber"/>
      </w:pPr>
      <w:r>
        <w:t>モードを終了する位置で対応する終了コード（G05 P0、G05.1 Q0、G08 P0）を指令します。</w:t>
      </w:r>
    </w:p>
    <w:p>
      <w:pPr>
        <w:pStyle w:val="Heading2"/>
      </w:pPr>
      <w:r>
        <w:t>設計上の留意事項</w:t>
      </w:r>
    </w:p>
    <w:p>
      <w:r>
        <w:t>・高精度輪郭制御やAI輪郭制御は仕上げ加工向けのため、粗加工やドリルサイクルなど大きな切削負荷を伴う加工では使用しない【665265939252793†L245-L256】。</w:t>
      </w:r>
    </w:p>
    <w:p>
      <w:r>
        <w:t>・複数のモードを併用する際は開始・終了順序を守り、HPCC を最も外側に、AI／スムージング／自由曲面などを内側にネストさせる。</w:t>
      </w:r>
    </w:p>
    <w:p>
      <w:r>
        <w:t>・先読みブロック数が増えるほど制御装置のメモリと CPU 負荷が高くなるため、システム仕様に応じてパラメータを調整する。</w:t>
      </w:r>
    </w:p>
    <w:p>
      <w:r>
        <w:t>・パス許容誤差 E やノット数などのパラメータを適切に設定しないと曲線形状や送り速度に影響が出る。機械マニュアルに従い設定する。</w:t>
      </w:r>
    </w:p>
    <w:p>
      <w:r>
        <w:t>・高速制御を行う場合、サーボ系は HRV3/HRV4 等の高速サーボ制御機能が有効になっていることを確認する【195263340254956†L353-L360】【195263340254956†L361-L368】。</w:t>
      </w:r>
    </w:p>
    <w:p>
      <w:pPr>
        <w:pStyle w:val="ListBullet"/>
      </w:pPr>
      <w:r>
        <w:t>各モードは個別に使用することもできますが、複数のモードを併用する場合は開始・終了順序に注意します。</w:t>
      </w:r>
    </w:p>
    <w:p>
      <w:pPr>
        <w:pStyle w:val="ListBullet"/>
      </w:pPr>
      <w:r>
        <w:t>高負荷の粗加工やドリルサイクルでは高速加工モードを使用せず、通常モードで加工してください。</w:t>
      </w:r>
    </w:p>
    <w:p>
      <w:pPr>
        <w:pStyle w:val="ListBullet"/>
      </w:pPr>
      <w:r>
        <w:t>工具半径補正や座標変換と併用する場合は、HPCC/AI HPCCのネスト方法に従い誤動作を防ぎます。</w:t>
      </w:r>
    </w:p>
    <w:p>
      <w:pPr>
        <w:pStyle w:val="IntenseQuote"/>
      </w:pPr>
      <w:r>
        <w:t>参照: 【668579061731820†L154-L176】【325903956359959†L65-L72】【665265939252793†L125-L146】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