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JP" w:hAnsi="Noto Sans CJK JP" w:eastAsia="Noto Sans CJK JP"/>
          <w:b w:val="0"/>
        </w:rPr>
        <w:t>NC先読み補正ジョブキュー・二重バッファ切替機能 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機能ID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FX-404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判定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サマリ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 6 / WARN 3 / NG 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7"/>
        <w:gridCol w:w="3117"/>
        <w:gridCol w:w="3117"/>
        <w:gridCol w:w="3117"/>
        <w:gridCol w:w="3117"/>
      </w:tblGrid>
      <w:tr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判定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指摘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推奨対応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トレーサビリティ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基本/詳細/要件からテストケースへの紐づけあり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FTR-002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テスト観点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正常、異常、境界、性能、証跡、回帰を含む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FTR-003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共有メモリ/API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共有メモリとAPI確認を含む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FTR-004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RT性能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周期超過0の確認を含む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FTR-005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安全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異常注入時の安全側遷移を確認する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FTR-006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Build/Test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VC2026/clangのbuild/test commandを記載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FTR-W01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設備依存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WARN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設備依存値が未決事項に残る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設備台帳で確定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FTR-W02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性能閾値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WARN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機能別usec上限が未確定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性能要求台帳に追記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FTR-W03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証跡規約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WARN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CSV/JSON命名と保存期間が共通規約依存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運用規約に追加</w:t>
            </w:r>
          </w:p>
        </w:tc>
      </w:tr>
    </w:tbl>
    <w:sectPr w:rsidR="00FC693F" w:rsidRPr="0006063C" w:rsidSect="00034616">
      <w:pgSz w:w="16834" w:h="11909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