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工具寿命カウンタ・交換予告通知機能 プレレビュー結果</w:t>
      </w:r>
    </w:p>
    <w:p>
      <w:pPr>
        <w:jc w:val="center"/>
      </w:pPr>
      <w:r>
        <w:rPr>
          <w:rFonts w:ascii="Noto Sans CJK JP" w:hAnsi="Noto Sans CJK JP" w:eastAsia="Noto Sans CJK JP" w:cs="Noto Sans CJK JP"/>
          <w:b w:val="0"/>
          <w:sz w:val="22"/>
        </w:rPr>
        <w:t>IBM-Bob AIエージェント想定レビュー</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判定</w:t>
            </w:r>
          </w:p>
        </w:tc>
        <w:tc>
          <w:tcPr>
            <w:tcW w:type="dxa" w:w="4986"/>
            <w:vAlign w:val="center"/>
          </w:tcPr>
          <w:p>
            <w:r/>
            <w:r>
              <w:rPr>
                <w:rFonts w:ascii="Noto Sans CJK JP" w:hAnsi="Noto Sans CJK JP" w:eastAsia="Noto Sans CJK JP" w:cs="Noto Sans CJK JP"/>
                <w:b w:val="0"/>
                <w:sz w:val="18"/>
              </w:rPr>
              <w:t>条件付き合格</w:t>
            </w:r>
          </w:p>
        </w:tc>
      </w:tr>
      <w:tr>
        <w:tc>
          <w:tcPr>
            <w:tcW w:type="dxa" w:w="4986"/>
            <w:shd w:fill="D9EAF7"/>
            <w:vAlign w:val="center"/>
          </w:tcPr>
          <w:p>
            <w:r/>
            <w:r>
              <w:rPr>
                <w:rFonts w:ascii="Noto Sans CJK JP" w:hAnsi="Noto Sans CJK JP" w:eastAsia="Noto Sans CJK JP" w:cs="Noto Sans CJK JP"/>
                <w:b/>
                <w:sz w:val="18"/>
              </w:rPr>
              <w:t>PASS</w:t>
            </w:r>
          </w:p>
        </w:tc>
        <w:tc>
          <w:tcPr>
            <w:tcW w:type="dxa" w:w="4986"/>
            <w:vAlign w:val="center"/>
          </w:tcPr>
          <w:p>
            <w:r/>
            <w:r>
              <w:rPr>
                <w:rFonts w:ascii="Noto Sans CJK JP" w:hAnsi="Noto Sans CJK JP" w:eastAsia="Noto Sans CJK JP" w:cs="Noto Sans CJK JP"/>
                <w:b w:val="0"/>
                <w:sz w:val="18"/>
              </w:rPr>
              <w:t>7</w:t>
            </w:r>
          </w:p>
        </w:tc>
      </w:tr>
      <w:tr>
        <w:tc>
          <w:tcPr>
            <w:tcW w:type="dxa" w:w="4986"/>
            <w:shd w:fill="D9EAF7"/>
            <w:vAlign w:val="center"/>
          </w:tcPr>
          <w:p>
            <w:r/>
            <w:r>
              <w:rPr>
                <w:rFonts w:ascii="Noto Sans CJK JP" w:hAnsi="Noto Sans CJK JP" w:eastAsia="Noto Sans CJK JP" w:cs="Noto Sans CJK JP"/>
                <w:b/>
                <w:sz w:val="18"/>
              </w:rPr>
              <w:t>WARN</w:t>
            </w:r>
          </w:p>
        </w:tc>
        <w:tc>
          <w:tcPr>
            <w:tcW w:type="dxa" w:w="4986"/>
            <w:vAlign w:val="center"/>
          </w:tcPr>
          <w:p>
            <w:r/>
            <w:r>
              <w:rPr>
                <w:rFonts w:ascii="Noto Sans CJK JP" w:hAnsi="Noto Sans CJK JP" w:eastAsia="Noto Sans CJK JP" w:cs="Noto Sans CJK JP"/>
                <w:b w:val="0"/>
                <w:sz w:val="18"/>
              </w:rPr>
              <w:t>6</w:t>
            </w:r>
          </w:p>
        </w:tc>
      </w:tr>
      <w:tr>
        <w:tc>
          <w:tcPr>
            <w:tcW w:type="dxa" w:w="4986"/>
            <w:shd w:fill="D9EAF7"/>
            <w:vAlign w:val="center"/>
          </w:tcPr>
          <w:p>
            <w:r/>
            <w:r>
              <w:rPr>
                <w:rFonts w:ascii="Noto Sans CJK JP" w:hAnsi="Noto Sans CJK JP" w:eastAsia="Noto Sans CJK JP" w:cs="Noto Sans CJK JP"/>
                <w:b/>
                <w:sz w:val="18"/>
              </w:rPr>
              <w:t>FAIL</w:t>
            </w:r>
          </w:p>
        </w:tc>
        <w:tc>
          <w:tcPr>
            <w:tcW w:type="dxa" w:w="4986"/>
            <w:vAlign w:val="center"/>
          </w:tcPr>
          <w:p>
            <w:r/>
            <w:r>
              <w:rPr>
                <w:rFonts w:ascii="Noto Sans CJK JP" w:hAnsi="Noto Sans CJK JP" w:eastAsia="Noto Sans CJK JP" w:cs="Noto Sans CJK JP"/>
                <w:b w:val="0"/>
                <w:sz w:val="18"/>
              </w:rPr>
              <w:t>0</w:t>
            </w:r>
          </w:p>
        </w:tc>
      </w:tr>
      <w:tr>
        <w:tc>
          <w:tcPr>
            <w:tcW w:type="dxa" w:w="4986"/>
            <w:shd w:fill="D9EAF7"/>
            <w:vAlign w:val="center"/>
          </w:tcPr>
          <w:p>
            <w:r/>
            <w:r>
              <w:rPr>
                <w:rFonts w:ascii="Noto Sans CJK JP" w:hAnsi="Noto Sans CJK JP" w:eastAsia="Noto Sans CJK JP" w:cs="Noto Sans CJK JP"/>
                <w:b/>
                <w:sz w:val="18"/>
              </w:rPr>
              <w:t>主な理由</w:t>
            </w:r>
          </w:p>
        </w:tc>
        <w:tc>
          <w:tcPr>
            <w:tcW w:type="dxa" w:w="4986"/>
            <w:vAlign w:val="center"/>
          </w:tcPr>
          <w:p>
            <w:r/>
            <w:r>
              <w:rPr>
                <w:rFonts w:ascii="Noto Sans CJK JP" w:hAnsi="Noto Sans CJK JP" w:eastAsia="Noto Sans CJK JP" w:cs="Noto Sans CJK JP"/>
                <w:b w:val="0"/>
                <w:sz w:val="18"/>
              </w:rPr>
              <w:t>基本設計として必要項目は揃っているが、詳細設計で更新順序・性能根拠・テストケースを確定する必要がある。</w:t>
            </w:r>
          </w:p>
        </w:tc>
      </w:tr>
    </w:tbl>
    <w:p/>
    <w:p>
      <w:pPr>
        <w:pStyle w:val="Heading1"/>
      </w:pPr>
      <w:r>
        <w:rPr>
          <w:rFonts w:ascii="Noto Sans CJK JP" w:hAnsi="Noto Sans CJK JP" w:eastAsia="Noto Sans CJK JP" w:cs="Noto Sans CJK JP"/>
          <w:b/>
          <w:sz w:val="24"/>
        </w:rPr>
        <w:t>1. チェック結果</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ID</w:t>
            </w:r>
          </w:p>
        </w:tc>
        <w:tc>
          <w:tcPr>
            <w:tcW w:type="dxa" w:w="2493"/>
            <w:shd w:fill="D9EAD3"/>
            <w:vAlign w:val="center"/>
          </w:tcPr>
          <w:p>
            <w:r/>
            <w:r>
              <w:rPr>
                <w:rFonts w:ascii="Noto Sans CJK JP" w:hAnsi="Noto Sans CJK JP" w:eastAsia="Noto Sans CJK JP" w:cs="Noto Sans CJK JP"/>
                <w:b/>
                <w:sz w:val="18"/>
              </w:rPr>
              <w:t>分類</w:t>
            </w:r>
          </w:p>
        </w:tc>
        <w:tc>
          <w:tcPr>
            <w:tcW w:type="dxa" w:w="2493"/>
            <w:shd w:fill="D9EAD3"/>
            <w:vAlign w:val="center"/>
          </w:tcPr>
          <w:p>
            <w:r/>
            <w:r>
              <w:rPr>
                <w:rFonts w:ascii="Noto Sans CJK JP" w:hAnsi="Noto Sans CJK JP" w:eastAsia="Noto Sans CJK JP" w:cs="Noto Sans CJK JP"/>
                <w:b/>
                <w:sz w:val="18"/>
              </w:rPr>
              <w:t>判定</w:t>
            </w:r>
          </w:p>
        </w:tc>
        <w:tc>
          <w:tcPr>
            <w:tcW w:type="dxa" w:w="2493"/>
            <w:shd w:fill="D9EAD3"/>
            <w:vAlign w:val="center"/>
          </w:tcPr>
          <w:p>
            <w:r/>
            <w:r>
              <w:rPr>
                <w:rFonts w:ascii="Noto Sans CJK JP" w:hAnsi="Noto Sans CJK JP" w:eastAsia="Noto Sans CJK JP" w:cs="Noto Sans CJK JP"/>
                <w:b/>
                <w:sz w:val="18"/>
              </w:rPr>
              <w:t>コメント</w:t>
            </w:r>
          </w:p>
        </w:tc>
      </w:tr>
      <w:tr>
        <w:tc>
          <w:tcPr>
            <w:tcW w:type="dxa" w:w="2493"/>
            <w:vAlign w:val="center"/>
          </w:tcPr>
          <w:p>
            <w:r/>
            <w:r>
              <w:rPr>
                <w:rFonts w:ascii="Noto Sans CJK JP" w:hAnsi="Noto Sans CJK JP" w:eastAsia="Noto Sans CJK JP" w:cs="Noto Sans CJK JP"/>
                <w:b w:val="0"/>
                <w:sz w:val="18"/>
              </w:rPr>
              <w:t>BRC-A01</w:t>
            </w:r>
          </w:p>
        </w:tc>
        <w:tc>
          <w:tcPr>
            <w:tcW w:type="dxa" w:w="2493"/>
            <w:vAlign w:val="center"/>
          </w:tcPr>
          <w:p>
            <w:r/>
            <w:r>
              <w:rPr>
                <w:rFonts w:ascii="Noto Sans CJK JP" w:hAnsi="Noto Sans CJK JP" w:eastAsia="Noto Sans CJK JP" w:cs="Noto Sans CJK JP"/>
                <w:b w:val="0"/>
                <w:sz w:val="18"/>
              </w:rPr>
              <w:t>要件整合</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BRC-A02</w:t>
            </w:r>
          </w:p>
        </w:tc>
        <w:tc>
          <w:tcPr>
            <w:tcW w:type="dxa" w:w="2493"/>
            <w:vAlign w:val="center"/>
          </w:tcPr>
          <w:p>
            <w:r/>
            <w:r>
              <w:rPr>
                <w:rFonts w:ascii="Noto Sans CJK JP" w:hAnsi="Noto Sans CJK JP" w:eastAsia="Noto Sans CJK JP" w:cs="Noto Sans CJK JP"/>
                <w:b w:val="0"/>
                <w:sz w:val="18"/>
              </w:rPr>
              <w:t>RT/TS分離</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BRC-A03</w:t>
            </w:r>
          </w:p>
        </w:tc>
        <w:tc>
          <w:tcPr>
            <w:tcW w:type="dxa" w:w="2493"/>
            <w:vAlign w:val="center"/>
          </w:tcPr>
          <w:p>
            <w:r/>
            <w:r>
              <w:rPr>
                <w:rFonts w:ascii="Noto Sans CJK JP" w:hAnsi="Noto Sans CJK JP" w:eastAsia="Noto Sans CJK JP" w:cs="Noto Sans CJK JP"/>
                <w:b w:val="0"/>
                <w:sz w:val="18"/>
              </w:rPr>
              <w:t>共有データ</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共有グローバル変数の読取元/書込元はあるが、更新順序・排他不要条件は詳細設計で確定が必要。</w:t>
            </w:r>
          </w:p>
        </w:tc>
      </w:tr>
      <w:tr>
        <w:tc>
          <w:tcPr>
            <w:tcW w:type="dxa" w:w="2493"/>
            <w:vAlign w:val="center"/>
          </w:tcPr>
          <w:p>
            <w:r/>
            <w:r>
              <w:rPr>
                <w:rFonts w:ascii="Noto Sans CJK JP" w:hAnsi="Noto Sans CJK JP" w:eastAsia="Noto Sans CJK JP" w:cs="Noto Sans CJK JP"/>
                <w:b w:val="0"/>
                <w:sz w:val="18"/>
              </w:rPr>
              <w:t>BRC-A04</w:t>
            </w:r>
          </w:p>
        </w:tc>
        <w:tc>
          <w:tcPr>
            <w:tcW w:type="dxa" w:w="2493"/>
            <w:vAlign w:val="center"/>
          </w:tcPr>
          <w:p>
            <w:r/>
            <w:r>
              <w:rPr>
                <w:rFonts w:ascii="Noto Sans CJK JP" w:hAnsi="Noto Sans CJK JP" w:eastAsia="Noto Sans CJK JP" w:cs="Noto Sans CJK JP"/>
                <w:b w:val="0"/>
                <w:sz w:val="18"/>
              </w:rPr>
              <w:t>API</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BRC-A05</w:t>
            </w:r>
          </w:p>
        </w:tc>
        <w:tc>
          <w:tcPr>
            <w:tcW w:type="dxa" w:w="2493"/>
            <w:vAlign w:val="center"/>
          </w:tcPr>
          <w:p>
            <w:r/>
            <w:r>
              <w:rPr>
                <w:rFonts w:ascii="Noto Sans CJK JP" w:hAnsi="Noto Sans CJK JP" w:eastAsia="Noto Sans CJK JP" w:cs="Noto Sans CJK JP"/>
                <w:b w:val="0"/>
                <w:sz w:val="18"/>
              </w:rPr>
              <w:t>状態遷移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BRC-A06</w:t>
            </w:r>
          </w:p>
        </w:tc>
        <w:tc>
          <w:tcPr>
            <w:tcW w:type="dxa" w:w="2493"/>
            <w:vAlign w:val="center"/>
          </w:tcPr>
          <w:p>
            <w:r/>
            <w:r>
              <w:rPr>
                <w:rFonts w:ascii="Noto Sans CJK JP" w:hAnsi="Noto Sans CJK JP" w:eastAsia="Noto Sans CJK JP" w:cs="Noto Sans CJK JP"/>
                <w:b w:val="0"/>
                <w:sz w:val="18"/>
              </w:rPr>
              <w:t>安全</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BRC-A07</w:t>
            </w:r>
          </w:p>
        </w:tc>
        <w:tc>
          <w:tcPr>
            <w:tcW w:type="dxa" w:w="2493"/>
            <w:vAlign w:val="center"/>
          </w:tcPr>
          <w:p>
            <w:r/>
            <w:r>
              <w:rPr>
                <w:rFonts w:ascii="Noto Sans CJK JP" w:hAnsi="Noto Sans CJK JP" w:eastAsia="Noto Sans CJK JP" w:cs="Noto Sans CJK JP"/>
                <w:b w:val="0"/>
                <w:sz w:val="18"/>
              </w:rPr>
              <w:t>性能</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RT周期内の目標はあるが、最大件数時のワーストケース根拠は詳細設計で補足が必要。</w:t>
            </w:r>
          </w:p>
        </w:tc>
      </w:tr>
      <w:tr>
        <w:tc>
          <w:tcPr>
            <w:tcW w:type="dxa" w:w="2493"/>
            <w:vAlign w:val="center"/>
          </w:tcPr>
          <w:p>
            <w:r/>
            <w:r>
              <w:rPr>
                <w:rFonts w:ascii="Noto Sans CJK JP" w:hAnsi="Noto Sans CJK JP" w:eastAsia="Noto Sans CJK JP" w:cs="Noto Sans CJK JP"/>
                <w:b w:val="0"/>
                <w:sz w:val="18"/>
              </w:rPr>
              <w:t>BRC-A08</w:t>
            </w:r>
          </w:p>
        </w:tc>
        <w:tc>
          <w:tcPr>
            <w:tcW w:type="dxa" w:w="2493"/>
            <w:vAlign w:val="center"/>
          </w:tcPr>
          <w:p>
            <w:r/>
            <w:r>
              <w:rPr>
                <w:rFonts w:ascii="Noto Sans CJK JP" w:hAnsi="Noto Sans CJK JP" w:eastAsia="Noto Sans CJK JP" w:cs="Noto Sans CJK JP"/>
                <w:b w:val="0"/>
                <w:sz w:val="18"/>
              </w:rPr>
              <w:t>影響調査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BRC-A09</w:t>
            </w:r>
          </w:p>
        </w:tc>
        <w:tc>
          <w:tcPr>
            <w:tcW w:type="dxa" w:w="2493"/>
            <w:vAlign w:val="center"/>
          </w:tcPr>
          <w:p>
            <w:r/>
            <w:r>
              <w:rPr>
                <w:rFonts w:ascii="Noto Sans CJK JP" w:hAnsi="Noto Sans CJK JP" w:eastAsia="Noto Sans CJK JP" w:cs="Noto Sans CJK JP"/>
                <w:b w:val="0"/>
                <w:sz w:val="18"/>
              </w:rPr>
              <w:t>テスト</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build/testコマンドは記載あり。追加テストケースIDと期待値は詳細設計またはテスト仕様書で確定が必要。</w:t>
            </w:r>
          </w:p>
        </w:tc>
      </w:tr>
      <w:tr>
        <w:tc>
          <w:tcPr>
            <w:tcW w:type="dxa" w:w="2493"/>
            <w:vAlign w:val="center"/>
          </w:tcPr>
          <w:p>
            <w:r/>
            <w:r>
              <w:rPr>
                <w:rFonts w:ascii="Noto Sans CJK JP" w:hAnsi="Noto Sans CJK JP" w:eastAsia="Noto Sans CJK JP" w:cs="Noto Sans CJK JP"/>
                <w:b w:val="0"/>
                <w:sz w:val="18"/>
              </w:rPr>
              <w:t>BRC-A10</w:t>
            </w:r>
          </w:p>
        </w:tc>
        <w:tc>
          <w:tcPr>
            <w:tcW w:type="dxa" w:w="2493"/>
            <w:vAlign w:val="center"/>
          </w:tcPr>
          <w:p>
            <w:r/>
            <w:r>
              <w:rPr>
                <w:rFonts w:ascii="Noto Sans CJK JP" w:hAnsi="Noto Sans CJK JP" w:eastAsia="Noto Sans CJK JP" w:cs="Noto Sans CJK JP"/>
                <w:b w:val="0"/>
                <w:sz w:val="18"/>
              </w:rPr>
              <w:t>JSON相互変換</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加工時間基準と加工回数基準の併用条件を詳細設計で確定すること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停電/異常停止時の永続化タイミングを定義すること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リセットAPIの権限制御と監査ログ要件を明確化すること</w:t>
            </w:r>
          </w:p>
        </w:tc>
      </w:tr>
    </w:tbl>
    <w:p/>
    <w:p>
      <w:pPr>
        <w:pStyle w:val="Heading1"/>
      </w:pPr>
      <w:r>
        <w:rPr>
          <w:rFonts w:ascii="Noto Sans CJK JP" w:hAnsi="Noto Sans CJK JP" w:eastAsia="Noto Sans CJK JP" w:cs="Noto Sans CJK JP"/>
          <w:b/>
          <w:sz w:val="24"/>
        </w:rPr>
        <w:t>2. 人間レビュー前の重点確認事項</w:t>
      </w:r>
    </w:p>
    <w:p>
      <w:pPr>
        <w:pStyle w:val="ListBullet"/>
      </w:pPr>
      <w:r>
        <w:rPr>
          <w:rFonts w:ascii="Noto Sans CJK JP" w:hAnsi="Noto Sans CJK JP" w:eastAsia="Noto Sans CJK JP" w:cs="Noto Sans CJK JP"/>
          <w:sz w:val="19"/>
        </w:rPr>
        <w:t>加工時間基準と加工回数基準の併用条件を詳細設計で確定すること</w:t>
      </w:r>
    </w:p>
    <w:p>
      <w:pPr>
        <w:pStyle w:val="ListBullet"/>
      </w:pPr>
      <w:r>
        <w:rPr>
          <w:rFonts w:ascii="Noto Sans CJK JP" w:hAnsi="Noto Sans CJK JP" w:eastAsia="Noto Sans CJK JP" w:cs="Noto Sans CJK JP"/>
          <w:sz w:val="19"/>
        </w:rPr>
        <w:t>停電/異常停止時の永続化タイミングを定義すること</w:t>
      </w:r>
    </w:p>
    <w:p>
      <w:pPr>
        <w:pStyle w:val="ListBullet"/>
      </w:pPr>
      <w:r>
        <w:rPr>
          <w:rFonts w:ascii="Noto Sans CJK JP" w:hAnsi="Noto Sans CJK JP" w:eastAsia="Noto Sans CJK JP" w:cs="Noto Sans CJK JP"/>
          <w:sz w:val="19"/>
        </w:rPr>
        <w:t>リセットAPIの権限制御と監査ログ要件を明確化すること</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