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追加5件サンプル詳細設計書 作成・レビューサマリ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  <w:t>本資料は、詳細設計書テンプレートv2を用いたJSON生成、DOCX生成、AIプレレビューの作成結果を一覧化する。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機能ID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機能名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OK</w:t>
            </w:r>
          </w:p>
        </w:tc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WARN</w:t>
            </w:r>
          </w:p>
        </w:tc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NG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評価軸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FX-DD-101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軸過負荷予兆監視・段階減速要求機能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13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RT/TS/API/共有メモリ評価用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FX-DD-102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セーフティドア開閉デバウンス・運転禁止ラッチ機能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14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RT/TS/API/共有メモリ評価用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FX-DD-103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工具交換準備シーケンス監視機能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13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RT/TS/API/共有メモリ評価用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FX-DD-104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NC先読み補正ジョブキュー・二重バッファ切替機能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RT/TS/API/共有メモリ評価用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FX-DD-105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異常発生前後I/Oトレースリングバッファ機能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14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RT/TS/API/共有メモリ評価用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共通のWARN傾向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RT周期内処理時間の根拠は実装後にVC2026/clang Windows版で測定する必要あり。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共有メモリの複数フィールド更新は世代番号/state更新順序のコードレビューが必要。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ファイル出力やCSV保存の命名規則・上書き方針は運用設計へ引き継ぐ。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出力ファイル構成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各機能: JSON構造ファイル、詳細設計書DOCX、プレレビュー結果JSON、プレレビュー結果DOCX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全体: 作成レビューサマリDOCX、一式ZIP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