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 CJK JP" w:hAnsi="Noto Sans CJK JP" w:eastAsia="Noto Sans CJK JP"/>
          <w:b/>
          <w:sz w:val="40"/>
        </w:rPr>
        <w:t>座標値・単位機能</w:t>
        <w:br/>
        <w:t>基本設計書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文書ID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BD-CNC-220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対象機能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座標値・単位機能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分類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NC基本指令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版数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0.1（ドラフト）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作成日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2026-04-29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入力元資料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設計_座標値・単位機能.docx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前提基盤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IBM-Bob Windows C リアルタイム/タイムシェア分離制御基盤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BD-00 文書管理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78"/>
        <w:gridCol w:w="2578"/>
        <w:gridCol w:w="2578"/>
        <w:gridCol w:w="2578"/>
      </w:tblGrid>
      <w:tr>
        <w:tc>
          <w:tcPr>
            <w:tcW w:type="dxa" w:w="1134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版</w:t>
            </w:r>
          </w:p>
        </w:tc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日付</w:t>
            </w:r>
          </w:p>
        </w:tc>
        <w:tc>
          <w:tcPr>
            <w:tcW w:type="dxa" w:w="5102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変更内容</w:t>
            </w:r>
          </w:p>
        </w:tc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作成/確認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0.1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2026-04-29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アップロード済み機能資料をもとに基本設計書ドラフトを作成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AI生成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0.2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未定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人間レビュー結果の反映予定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設計担当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BD-01 文書目的・適用範囲</w:t>
      </w:r>
    </w:p>
    <w:p>
      <w:r>
        <w:rPr>
          <w:rFonts w:ascii="Noto Sans CJK JP" w:hAnsi="Noto Sans CJK JP" w:eastAsia="Noto Sans CJK JP"/>
          <w:sz w:val="19"/>
        </w:rPr>
        <w:t>NCプログラムにおけるアブソリュート/インクレメンタル指令、およびメートル/インチ入力を正しく解釈し、内部制御単位へ一貫して正規化する。</w:t>
      </w:r>
    </w:p>
    <w:p>
      <w:r>
        <w:rPr>
          <w:rFonts w:ascii="Noto Sans CJK JP" w:hAnsi="Noto Sans CJK JP" w:eastAsia="Noto Sans CJK JP"/>
          <w:sz w:val="19"/>
        </w:rPr>
        <w:t>本書は基本設計レベルの文書であり、詳細な関数仕様、構造体レイアウト、単体テストコード、実機パラメータ値は詳細設計書以降で確定する。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区分</w:t>
            </w:r>
          </w:p>
        </w:tc>
        <w:tc>
          <w:tcPr>
            <w:tcW w:type="dxa" w:w="7370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対象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対象範囲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NCプログラム解釈、モード状態管理、共有メモリ連携、RT/TS責務分担、異常安全、受入条件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対象外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機械メーカー固有の全パラメータ値、PLCラダー詳細、サーボアンプ内部制御、HMI画面の詳細レイアウト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前提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Windows C言語製のマルチスレッド機械制御基盤を前提とする。ハードウェア割込で起床するRT_INPUT/RT_CONTROL/RT_OUTPUTと、CPU余力で動作するTS_SERVICEを分離する。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BD-02 機能概要</w:t>
      </w:r>
    </w:p>
    <w:p>
      <w:r>
        <w:rPr>
          <w:rFonts w:ascii="Noto Sans CJK JP" w:hAnsi="Noto Sans CJK JP" w:eastAsia="Noto Sans CJK JP"/>
          <w:sz w:val="19"/>
        </w:rPr>
        <w:t>G90/G91により絶対/増分指令を、G20/G21によりインチ/メートル入力を選択する。TS_SERVICEが座標値と送り速度を内部単位へ正規化し、RT_CONTROLは正規化済み機械単位のみを扱う。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観点</w:t>
            </w:r>
          </w:p>
        </w:tc>
        <w:tc>
          <w:tcPr>
            <w:tcW w:type="dxa" w:w="7370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基本方針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設計粒度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基本設計として、機能責務、データ流れ、状態、異常安全、既存基盤への影響を定義する。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RT/TS分離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解析・変換・ファイルI/O・重計算はTS_SERVICE側、周期内の最終判定と固定長データ消費はRT_CONTROL側に配置する。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互換性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既存公開APIと共有メモリを壊さず、追加データは世代番号付きの新規構造体として拡張する。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BD-03 用語・前提条件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用語</w:t>
            </w:r>
          </w:p>
        </w:tc>
        <w:tc>
          <w:tcPr>
            <w:tcW w:type="dxa" w:w="6803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説明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ハードウェア割込周期内で実行されるリアルタイム制御。固定長データの読み出しと安全判定のみを行う。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リアルタイム余力で実行されるタイムシェア処理。ファイルI/O、NC解析、先読み、ログ保存、HMI/API連携を担当する。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実行ブロック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NCプログラムをRT_CONTROLが直接消費できる固定長形式に正規化した内部データ。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世代番号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TS_SERVICEが更新した複数フィールドの整合性をRT_CONTROLが確認するための番号。</w:t>
            </w:r>
          </w:p>
        </w:tc>
      </w:tr>
    </w:tbl>
    <w:p>
      <w:r>
        <w:rPr>
          <w:rFonts w:ascii="Noto Sans CJK JP" w:hAnsi="Noto Sans CJK JP" w:eastAsia="Noto Sans CJK JP"/>
          <w:sz w:val="19"/>
        </w:rPr>
        <w:t>RT側ではWindowsシステムコール、ファイルI/O、動的メモリ確保、長時間ブロッキング、三角関数や探索など処理時間が変動する重計算を禁止し、1割込周期内に処理を完了する。</w:t>
      </w:r>
    </w:p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BD-04 要求仕様・ユースケース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要求ID</w:t>
            </w:r>
          </w:p>
        </w:tc>
        <w:tc>
          <w:tcPr>
            <w:tcW w:type="dxa" w:w="7370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要求内容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REQ-01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NCプログラムまたは操作要求から本機能を有効化・解除できること。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REQ-02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実行前にモード、軸、補正、座標系、機械状態の整合性を検査できること。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REQ-03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RT_CONTROL周期内では処理時間が予測可能な固定長処理に限定すること。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REQ-04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異常検出時はフェイルセーフ出力、減速停止、アラーム通知のいずれかへ安全側遷移すること。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REQ-05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HMI/API/ログから状態と異常原因を確認できること。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BD-05 Gコード・設定インターフェース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種別</w:t>
            </w:r>
          </w:p>
        </w:tc>
        <w:tc>
          <w:tcPr>
            <w:tcW w:type="dxa" w:w="6803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Gコード/設定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G90: アブソリュート指令</w:t>
              <w:br/>
              <w:t>G91: インクレメンタル指令</w:t>
              <w:br/>
              <w:t>G20: インチ入力</w:t>
              <w:br/>
              <w:t>G21: メートル入力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3402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入力</w:t>
            </w:r>
          </w:p>
        </w:tc>
        <w:tc>
          <w:tcPr>
            <w:tcW w:type="dxa" w:w="5669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説明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座標アドレス値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本機能の判定・変換・実行に使用する入力情報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G90/G91状態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本機能の判定・変換・実行に使用する入力情報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G20/G21状態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本機能の判定・変換・実行に使用する入力情報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体系A/B/C設定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本機能の判定・変換・実行に使用する入力情報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径/半径指定状態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本機能の判定・変換・実行に使用する入力情報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送り速度F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本機能の判定・変換・実行に使用する入力情報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3402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出力</w:t>
            </w:r>
          </w:p>
        </w:tc>
        <w:tc>
          <w:tcPr>
            <w:tcW w:type="dxa" w:w="5669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説明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内部単位の絶対目標座標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共有メモリ、HMI、PLC、RT実行ブロック、ログへ反映される出力情報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単位状態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共有メモリ、HMI、PLC、RT実行ブロック、ログへ反映される出力情報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指令方式状態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共有メモリ、HMI、PLC、RT実行ブロック、ログへ反映される出力情報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重複指令/単位切換警告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共有メモリ、HMI、PLC、RT実行ブロック、ログへ反映される出力情報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BD-06 RT/TS/API責務分担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1984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区分</w:t>
            </w:r>
          </w:p>
        </w:tc>
        <w:tc>
          <w:tcPr>
            <w:tcW w:type="dxa" w:w="7087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責務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RT_INPUT</w:t>
            </w:r>
          </w:p>
        </w:tc>
        <w:tc>
          <w:tcPr>
            <w:tcW w:type="dxa" w:w="70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外部I/O、サーボ状態、インターロック入力を周期先頭でスナップショット化する。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</w:t>
            </w:r>
          </w:p>
        </w:tc>
        <w:tc>
          <w:tcPr>
            <w:tcW w:type="dxa" w:w="70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TS_SERVICEが生成した固定長実行ブロック、モードビット、補正値、状態スナップショットを読み、周期内で実行・監視する。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RT_OUTPUT</w:t>
            </w:r>
          </w:p>
        </w:tc>
        <w:tc>
          <w:tcPr>
            <w:tcW w:type="dxa" w:w="70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安全側出力、減速停止、PLC補助指令、サーボ指令を確定する。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  <w:tc>
          <w:tcPr>
            <w:tcW w:type="dxa" w:w="70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NC解析、パラメータ検証、先読み、座標/補間変換、ファイルI/O、ログ保存、HMI/API連携を行う。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公開API</w:t>
            </w:r>
          </w:p>
        </w:tc>
        <w:tc>
          <w:tcPr>
            <w:tcW w:type="dxa" w:w="70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既存API互換を維持し、必要に応じて状態取得・機能パラメータ更新・記録出力の拡張APIを追加する。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BD-07 状態遷移・運転モード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1587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状態</w:t>
            </w:r>
          </w:p>
        </w:tc>
        <w:tc>
          <w:tcPr>
            <w:tcW w:type="dxa" w:w="3969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概要</w:t>
            </w:r>
          </w:p>
        </w:tc>
        <w:tc>
          <w:tcPr>
            <w:tcW w:type="dxa" w:w="3402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遷移条件</w:t>
            </w:r>
          </w:p>
        </w:tc>
      </w:tr>
      <w:tr>
        <w:tc>
          <w:tcPr>
            <w:tcW w:type="dxa" w:w="15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DISABLED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本機能が無効。通常NC処理のみ実行。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初期状態、解除指令、オプション無効</w:t>
            </w:r>
          </w:p>
        </w:tc>
      </w:tr>
      <w:tr>
        <w:tc>
          <w:tcPr>
            <w:tcW w:type="dxa" w:w="15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ARMED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開始指令を受理し、TS_SERVICEが検証・準備中。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開始Gコード/API受理</w:t>
            </w:r>
          </w:p>
        </w:tc>
      </w:tr>
      <w:tr>
        <w:tc>
          <w:tcPr>
            <w:tcW w:type="dxa" w:w="15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ACTIVE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RT_CONTROLが本機能の実行ブロックまたはモードを使用中。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検証完了、バッファ充足、安全条件成立</w:t>
            </w:r>
          </w:p>
        </w:tc>
      </w:tr>
      <w:tr>
        <w:tc>
          <w:tcPr>
            <w:tcW w:type="dxa" w:w="15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HOLD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一時停止または安全確認中。状態を保持し再開可否を判定。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フィードホールド、TS準備待ち、オペレータ停止</w:t>
            </w:r>
          </w:p>
        </w:tc>
      </w:tr>
      <w:tr>
        <w:tc>
          <w:tcPr>
            <w:tcW w:type="dxa" w:w="15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ALARM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異常検出により安全側停止。解除には原因除去とリセットが必要。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入力不整合、干渉、バッファ不足、RT監視異常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BD-08 データ設計・共有メモリ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62"/>
        <w:gridCol w:w="2062"/>
        <w:gridCol w:w="2062"/>
        <w:gridCol w:w="2062"/>
        <w:gridCol w:w="2062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データ</w:t>
            </w:r>
          </w:p>
        </w:tc>
        <w:tc>
          <w:tcPr>
            <w:tcW w:type="dxa" w:w="1134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所有者</w:t>
            </w:r>
          </w:p>
        </w:tc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書込元</w:t>
            </w:r>
          </w:p>
        </w:tc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読取元</w:t>
            </w:r>
          </w:p>
        </w:tc>
        <w:tc>
          <w:tcPr>
            <w:tcW w:type="dxa" w:w="2835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g_FeatureRequest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TS/API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API/TS_SERVICE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TS_SERVICE/RT_CONTROL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開始・解除・パラメータ更新要求。busy/state/generationを持つ。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g_FeatureStatus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RT/TS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RT_CONTROL/TS_SERVICE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API/HMI/ログ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有効状態、異常コード、現在ブロック、バッファ充足率、警告状態。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g_FeatureExecBuffer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RTが直接消費する固定長実行ブロック、補正テーブル、モードスナップショット。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g_machineCtx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TS_SERVICE/API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運転モード、主状態、インターロック、アラームを既存互換で保持。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g_logQueue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RT/TS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RT_CONTROL/TS_SERVICE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RTからは固定長ログ要求のみ登録し、永続化はTS_SERVICEで行う。</w:t>
            </w:r>
          </w:p>
        </w:tc>
      </w:tr>
    </w:tbl>
    <w:p>
      <w:r>
        <w:rPr>
          <w:rFonts w:ascii="Noto Sans CJK JP" w:hAnsi="Noto Sans CJK JP" w:eastAsia="Noto Sans CJK JP"/>
          <w:sz w:val="19"/>
        </w:rPr>
        <w:t>複数フィールドを更新するデータは、begin_generation/end_generationまたはvalidフラグで整合性を保証する。RT_CONTROLは世代番号が不一致のデータを採用しない。</w:t>
      </w:r>
    </w:p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BD-09 処理方式</w:t>
      </w:r>
    </w:p>
    <w:p>
      <w:pPr>
        <w:pStyle w:val="ListBullet"/>
      </w:pPr>
      <w:r>
        <w:t>TS_SERVICEがプログラム冒頭またはブロック中のG20/G21、G90/G91を解析し、モーダル状態を更新する。</w:t>
      </w:r>
    </w:p>
    <w:p>
      <w:pPr>
        <w:pStyle w:val="ListBullet"/>
      </w:pPr>
      <w:r>
        <w:t>座標アドレスを体系A/B/Cおよび径/半径指定に基づいて絶対目標値へ変換する。</w:t>
      </w:r>
    </w:p>
    <w:p>
      <w:pPr>
        <w:pStyle w:val="ListBullet"/>
      </w:pPr>
      <w:r>
        <w:t>インチ/メートル値と送り速度を内部標準単位へ正規化し、RT実行ブロックへ格納する。</w:t>
      </w:r>
    </w:p>
    <w:p>
      <w:pPr>
        <w:pStyle w:val="ListBullet"/>
      </w:pPr>
      <w:r>
        <w:t>同一軸の絶対/増分混在や単位切換時の影響を検出し、必要に応じ警告またはアラームとする。</w:t>
      </w:r>
    </w:p>
    <w:p>
      <w:r>
        <w:rPr>
          <w:rFonts w:ascii="Noto Sans CJK JP" w:hAnsi="Noto Sans CJK JP" w:eastAsia="Noto Sans CJK JP"/>
          <w:sz w:val="19"/>
        </w:rPr>
        <w:t>重い計算、ファイルI/O、可変長文字列処理、メモリ確保、ログ整形はTS_SERVICEに限定する。RT_CONTROLは、固定長構造体と事前計算済み数値のみを参照する。</w:t>
      </w:r>
    </w:p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BD-10 シーケンス概要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78"/>
        <w:gridCol w:w="2578"/>
        <w:gridCol w:w="2578"/>
        <w:gridCol w:w="2578"/>
      </w:tblGrid>
      <w:tr>
        <w:tc>
          <w:tcPr>
            <w:tcW w:type="dxa" w:w="850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ステップ</w:t>
            </w:r>
          </w:p>
        </w:tc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主体</w:t>
            </w:r>
          </w:p>
        </w:tc>
        <w:tc>
          <w:tcPr>
            <w:tcW w:type="dxa" w:w="5102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処理</w:t>
            </w:r>
          </w:p>
        </w:tc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失敗時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1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NCブロックまたはAPI要求を受理し、対象機能の開始/解除を識別する。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構文エラーとしてALARMまたはREJECT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2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モード、軸、補正、座標系、オプション、パラメータ、機械状態の整合性を検証する。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実行前アラーム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3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RT向け固定長データへ変換し、世代番号付きで共有メモリに登録する。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準備失敗、バッファ不足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4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周期ごとに世代番号とvalidを確認し、実行ブロックを消費する。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安全側停止または通常速度へフォールバック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5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RT_OUTPUT/TS_SERVICE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完了状態、ログ、HMI/API表示を更新する。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ログ欠落時もRT制御は継続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BD-11 異常・アラーム設計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1134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ID</w:t>
            </w:r>
          </w:p>
        </w:tc>
        <w:tc>
          <w:tcPr>
            <w:tcW w:type="dxa" w:w="4535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異常条件</w:t>
            </w:r>
          </w:p>
        </w:tc>
        <w:tc>
          <w:tcPr>
            <w:tcW w:type="dxa" w:w="3402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基本動作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ALM-01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単位切換タイミング不正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RT検出時は即時安全側、TS検出時は実行前拒否または運転停止要求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ALM-02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使用不可アドレス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RT検出時は即時安全側、TS検出時は実行前拒否または運転停止要求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ALM-03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同一軸指令矛盾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RT検出時は即時安全側、TS検出時は実行前拒否または運転停止要求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ALM-04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内部単位換算オーバーフロー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RT検出時は即時安全側、TS検出時は実行前拒否または運転停止要求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ALM-05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径/半径指定不整合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RT検出時は即時安全側、TS検出時は実行前拒否または運転停止要求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BD-12 安全設計・フェイルセーフ</w:t>
      </w:r>
    </w:p>
    <w:p>
      <w:pPr>
        <w:pStyle w:val="ListBullet"/>
      </w:pPr>
      <w:r>
        <w:t>RT_CONTROLが危険状態を検出した場合、g_machineCtxをALARMへ遷移させ、RT_OUTPUTで安全側出力を確定する。</w:t>
      </w:r>
    </w:p>
    <w:p>
      <w:pPr>
        <w:pStyle w:val="ListBullet"/>
      </w:pPr>
      <w:r>
        <w:t>TS_SERVICEの準備未完了、世代番号不一致、バッファ不足、パラメータ不正は、RT実行に入る前に拒否する。</w:t>
      </w:r>
    </w:p>
    <w:p>
      <w:pPr>
        <w:pStyle w:val="ListBullet"/>
      </w:pPr>
      <w:r>
        <w:t>運転中に不整合が発生した場合は、加工内容に応じて通常速度フォールバック、段階減速停止、即時停止を選択する。</w:t>
      </w:r>
    </w:p>
    <w:p>
      <w:pPr>
        <w:pStyle w:val="ListBullet"/>
      </w:pPr>
      <w:r>
        <w:t>オペレータ解除は、原因除去、リセット、再準備、インターロック再評価の順に実施する。</w:t>
      </w:r>
    </w:p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BD-13 性能・リアルタイム制約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基本設計方針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RT周期処理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固定長データ参照、境界チェック、状態遷移、ログ要求登録のみ。ワーストケース時間を詳細設計で測定する。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TS処理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先読み、変換、補間展開、ファイルI/O、ログ整形など変動時間処理を担当する。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バッファ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RTが消費する前にTSが十分な先読み量を確保する。アンダーラン時は安全側に遷移する。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メモリ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RT側では静的確保済み固定長領域のみ使用する。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BD-14 制約・併用条件</w:t>
      </w:r>
    </w:p>
    <w:p>
      <w:pPr>
        <w:pStyle w:val="ListBullet"/>
      </w:pPr>
      <w:r>
        <w:t>G20/G21はプログラム途中での頻繁な切換を避ける</w:t>
      </w:r>
    </w:p>
    <w:p>
      <w:pPr>
        <w:pStyle w:val="ListBullet"/>
      </w:pPr>
      <w:r>
        <w:t>同一軸の重複指令は後勝ち規則を明確化</w:t>
      </w:r>
    </w:p>
    <w:p>
      <w:pPr>
        <w:pStyle w:val="ListBullet"/>
      </w:pPr>
      <w:r>
        <w:t>RT側で単位換算を行わない</w:t>
      </w:r>
    </w:p>
    <w:p>
      <w:pPr>
        <w:pStyle w:val="ListBullet"/>
      </w:pPr>
      <w:r>
        <w:t>径/半径指定機能との整合性を確保</w:t>
      </w:r>
    </w:p>
    <w:p>
      <w:r>
        <w:rPr>
          <w:rFonts w:ascii="Noto Sans CJK JP" w:hAnsi="Noto Sans CJK JP" w:eastAsia="Noto Sans CJK JP"/>
          <w:sz w:val="19"/>
        </w:rPr>
        <w:t>併用条件は機種オプション、サーボ設定、座標変換状態、補正状態、サイクル状態によって変化するため、詳細設計で機種別パラメータ表として分離する。</w:t>
      </w:r>
    </w:p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BD-15 操作・表示・API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区分</w:t>
            </w:r>
          </w:p>
        </w:tc>
        <w:tc>
          <w:tcPr>
            <w:tcW w:type="dxa" w:w="6803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HMI表示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有効/無効、準備中、実行中、保持中、異常、対象軸、現在ブロック、バッファ充足率、異常コードを表示する。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API状態取得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既存Api_GetStatusSnapshotと互換性を維持し、必要な場合は拡張ステータス構造体を追加する。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API要求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運転モード変更やログフラッシュの既存APIを壊さず、機能固有パラメータ更新は新規APIまたはg_uiRequest拡張で扱う。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操作制限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RUNNING中の危険なパラメータ変更は拒否し、READY/STOPPEDでのみ更新を許可する。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BD-16 ログ・診断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ログ種別</w:t>
            </w:r>
          </w:p>
        </w:tc>
        <w:tc>
          <w:tcPr>
            <w:tcW w:type="dxa" w:w="4535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記録内容</w:t>
            </w:r>
          </w:p>
        </w:tc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記録主体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操作ログ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開始/解除指令、パラメータ変更、オペレータ操作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実行ログ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モード遷移、対象ブロック、バッファ状態、速度/補正概要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RT要求→TS保存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異常ログ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アラームID、発生周期、対象軸、NCブロック番号、入力スナップショット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RT_CONTROL/TS_SERVICE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診断ログ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先読み時間、変換時間、RT最大処理時間、世代番号不一致回数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BD-17 既存資産への影響調査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835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対象</w:t>
            </w:r>
          </w:p>
        </w:tc>
        <w:tc>
          <w:tcPr>
            <w:tcW w:type="dxa" w:w="6236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影響内容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include/system_config.h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機能有効化マクロ、最大軸数、バッファ長、オプション有無の定義追加。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include/system_shared.h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要求/状態/実行バッファ構造体の追加、既存共有メモリとの整合性維持。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include/control_api.h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必要に応じた状態取得・設定要求APIの追加。既存APIのシグネチャは変更しない。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src/control_api.c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入力値検証、要求登録、世代番号更新、RUNNING中変更拒否を追加。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src/rt_control.c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RT周期内の固定長実行、異常監視、フェイルセーフ遷移を追加。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src/ts_service.c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NC解析、先読み、変換、ログ保存、HMI連携を追加。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docs/tests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基本設計、詳細設計、機能テスト、回帰テスト観点を追加。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BD-18 受入条件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受入ID</w:t>
            </w:r>
          </w:p>
        </w:tc>
        <w:tc>
          <w:tcPr>
            <w:tcW w:type="dxa" w:w="7370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条件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AC-01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G90/G91が座標解釈に正しく反映される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AC-02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G20/G21が座標・送り単位に反映される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AC-03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RT側には内部標準単位のみが渡る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AC-99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VC2026およびclang Windows版のbuild/testが通ること。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BD-19 テスト観点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観点</w:t>
            </w:r>
          </w:p>
        </w:tc>
        <w:tc>
          <w:tcPr>
            <w:tcW w:type="dxa" w:w="6803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確認内容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正常系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開始、実行、解除、通常運転復帰が仕様通りであること。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異常系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入力不正、モード競合、バッファ不足、インターロック発生時に安全側へ遷移すること。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境界値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軸リミット、速度上限、パラメータ最小/最大、先読み数、補正値上限を確認する。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RT性能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RT_CONTROLのワーストケース処理時間が1割込周期内に収まること。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回帰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既存NCプログラム、既存API、既存共有メモリ、既存ログ出力が互換であること。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BD-20 ビルド・静的解析・実行確認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環境</w:t>
            </w:r>
          </w:p>
        </w:tc>
        <w:tc>
          <w:tcPr>
            <w:tcW w:type="dxa" w:w="6803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コマンド/確認内容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VC2026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cmd /c scripts\build_vc2026.bat および cmd /c scripts\test_vc2026.bat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clang Windows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cmd /c scripts\build_clang.bat および cmd /c scripts\test_clang.bat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静的解析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RT禁止API、動的メモリ確保、ファイルI/O、未初期化、整数オーバーフロー、共有メモリ競合を確認する。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成果物確認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JSON構文、DOCX構造、SECTION_ID、JSON Path、レビュー観点の整合性を確認する。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BD-21 AIプレレビュー観点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ID</w:t>
            </w:r>
          </w:p>
        </w:tc>
        <w:tc>
          <w:tcPr>
            <w:tcW w:type="dxa" w:w="7370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チェック観点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BDR-001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目的、対象範囲、対象外が明確であること。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BDR-002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RT/TS/API責務分担が曖昧でないこと。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BDR-003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共有メモリの所有者、書込元、読取元、整合性方式が定義されていること。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BDR-004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異常検出時の安全側動作が定義されていること。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BDR-005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既存API互換、既存ソース影響、build/test観点が含まれていること。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BDR-006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詳細設計で確定すべき未決事項が分離されていること。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BD-22 未決事項・付録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未決ID</w:t>
            </w:r>
          </w:p>
        </w:tc>
        <w:tc>
          <w:tcPr>
            <w:tcW w:type="dxa" w:w="4535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内容</w:t>
            </w:r>
          </w:p>
        </w:tc>
        <w:tc>
          <w:tcPr>
            <w:tcW w:type="dxa" w:w="2835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詳細設計での扱い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TBD-01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機種ごとの実パラメータ番号・有効範囲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機械仕様書/設備パラメータ台帳と照合して確定する。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TBD-02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RT周期内処理時間のusec上限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実装後に計測し、機能別上限値を確定する。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TBD-03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HMI画面の詳細レイアウト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操作設計またはHMI詳細設計で確定する。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TBD-04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PLC信号名・ハンドシェイク詳細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PLCインターフェース台帳と照合して確定する。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907" w:right="964" w:bottom="850" w:left="96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JP" w:hAnsi="Noto Sans CJK JP" w:eastAsia="Noto Sans CJK JP"/>
        <w:sz w:val="16"/>
      </w:rPr>
      <w:t>Confidential - Draft for AI pre-review / 2026-04-29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JP" w:hAnsi="Noto Sans CJK JP" w:eastAsia="Noto Sans CJK JP"/>
        <w:sz w:val="16"/>
      </w:rPr>
      <w:t>IBM-Bob 基本設計書 v2.0 / 座標値・単位機能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JP" w:hAnsi="Noto Sans CJK JP" w:eastAsia="Noto Sans CJK JP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JP" w:hAnsi="Noto Sans CJK JP" w:eastAsia="Noto Sans CJK JP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Noto Sans CJK JP" w:hAnsi="Noto Sans CJK JP" w:eastAsia="Noto Sans CJK JP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Note"/>
    <w:rPr>
      <w:rFonts w:ascii="Noto Sans CJK JP" w:hAnsi="Noto Sans CJK JP" w:eastAsia="Noto Sans CJK JP"/>
      <w:i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