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sz w:val="40"/>
        </w:rPr>
        <w:t>径・半径指定切換機能</w:t>
        <w:br/>
        <w:t>基本設計書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文書ID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BD-CNC-214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径・半径指定切換機能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座標指令方式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版数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0.1（ドラフト）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設計_径半径指定切換機能.docx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前提基盤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Windows C リアルタイム/タイムシェア分離制御基盤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BD-00 文書管理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日付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作成/確認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アップロード済み機能資料をもとに基本設計書ドラフトを作成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AI生成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0.2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未定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人間レビュー結果の反映予定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設計担当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BD-01 文書目的・適用範囲</w:t>
      </w:r>
    </w:p>
    <w:p>
      <w:r>
        <w:rPr>
          <w:rFonts w:ascii="Noto Sans CJK JP" w:hAnsi="Noto Sans CJK JP" w:eastAsia="Noto Sans CJK JP"/>
          <w:sz w:val="19"/>
        </w:rPr>
        <w:t>旋盤加工において外径/内径の座標値を径指令と半径指令のどちらで解釈するかを、プログラムまたは外部信号で安全に切り替える。</w:t>
      </w:r>
    </w:p>
    <w:p>
      <w:r>
        <w:rPr>
          <w:rFonts w:ascii="Noto Sans CJK JP" w:hAnsi="Noto Sans CJK JP" w:eastAsia="Noto Sans CJK JP"/>
          <w:sz w:val="19"/>
        </w:rPr>
        <w:t>本書は基本設計レベルの文書であり、詳細な関数仕様、構造体レイアウト、単体テストコード、実機パラメータ値は詳細設計書以降で確定する。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対象範囲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NCプログラム解釈、モード状態管理、共有メモリ連携、RT/TS責務分担、異常安全、受入条件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対象外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機械メーカー固有の全パラメータ値、PLCラダー詳細、サーボアンプ内部制御、HMI画面の詳細レイアウト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前提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Windows C言語製のマルチスレッド機械制御基盤を前提とする。ハードウェア割込で起床するRT_INPUT/RT_CONTROL/RT_OUTPUTと、CPU余力で動作するTS_SERVICEを分離する。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BD-02 機能概要</w:t>
      </w:r>
    </w:p>
    <w:p>
      <w:r>
        <w:rPr>
          <w:rFonts w:ascii="Noto Sans CJK JP" w:hAnsi="Noto Sans CJK JP" w:eastAsia="Noto Sans CJK JP"/>
          <w:sz w:val="19"/>
        </w:rPr>
        <w:t>G10.9 IP_によるプログラム切換、または外部信号による切換を扱う。TS_SERVICEが停止条件とパラメータを確認し、内部座標は常に正規化単位へ変換してRT_CONTROLへ渡す。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基本方針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設計粒度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基本設計として、機能責務、データ流れ、状態、異常安全、既存基盤への影響を定義する。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RT/TS分離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解析・変換・ファイルI/O・重計算はTS_SERVICE側、周期内の最終判定と固定長データ消費はRT_CONTROL側に配置する。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互換性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既存公開APIと共有メモリを壊さず、追加データは世代番号付きの新規構造体として拡張する。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BD-03 用語・前提条件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用語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ハードウェア割込周期内で実行されるリアルタイム制御。固定長データの読み出しと安全判定のみを行う。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リアルタイム余力で実行されるタイムシェア処理。ファイルI/O、NC解析、先読み、ログ保存、HMI/API連携を担当する。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実行ブロック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NCプログラムをRT_CONTROLが直接消費できる固定長形式に正規化した内部データ。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世代番号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TS_SERVICEが更新した複数フィールドの整合性をRT_CONTROLが確認するための番号。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RT側ではWindowsシステムコール、ファイルI/O、動的メモリ確保、長時間ブロッキング、三角関数や探索など処理時間が変動する重計算を禁止し、1割込周期内に処理を完了する。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BD-04 要求仕様・ユースケース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要求内容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NCプログラムまたは操作要求から本機能を有効化・解除できること。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実行前にモード、軸、補正、座標系、機械状態の整合性を検査できること。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RT_CONTROL周期内では処理時間が予測可能な固定長処理に限定すること。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異常検出時はフェイルセーフ出力、減速停止、アラーム通知のいずれかへ安全側遷移すること。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REQ-05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HMI/API/ログから状態と異常原因を確認できること。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BD-05 Gコード・設定インターフェース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種別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Gコード/設定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G10.9 IP_: 指定軸の径/半径指定切換</w:t>
              <w:br/>
              <w:t>PGD: プログラム切換有効化</w:t>
              <w:br/>
              <w:t>DPA/DPM: 表示方式設定</w:t>
              <w:br/>
              <w:t>DM1〜DM8: 切換中出力信号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入力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G10.9指令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切換対象軸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径/半径指定値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PGD/DPA/DPM/DIAxパラメータ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外部切換信号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本機能の判定・変換・実行に使用する入力情報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出力</w:t>
            </w:r>
          </w:p>
        </w:tc>
        <w:tc>
          <w:tcPr>
            <w:tcW w:type="dxa" w:w="56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説明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軸ごとの径/半径モード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表示基準情報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DM切換中信号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  <w:tr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切換アラーム</w:t>
            </w:r>
          </w:p>
        </w:tc>
        <w:tc>
          <w:tcPr>
            <w:tcW w:type="dxa" w:w="56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共有メモリ、HMI、PLC、RT実行ブロック、ログへ反映される出力情報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BD-06 RT/TS/API責務分担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98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70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責務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RT_INPUT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外部I/O、サーボ状態、インターロック入力を周期先頭でスナップショット化する。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TS_SERVICEが生成した固定長実行ブロック、モードビット、補正値、状態スナップショットを読み、周期内で実行・監視する。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安全側出力、減速停止、PLC補助指令、サーボ指令を確定する。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NC解析、パラメータ検証、先読み、座標/補間変換、ファイルI/O、ログ保存、HMI/API連携を行う。</w:t>
            </w:r>
          </w:p>
        </w:tc>
      </w:tr>
      <w:tr>
        <w:tc>
          <w:tcPr>
            <w:tcW w:type="dxa" w:w="198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公開API</w:t>
            </w:r>
          </w:p>
        </w:tc>
        <w:tc>
          <w:tcPr>
            <w:tcW w:type="dxa" w:w="70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既存API互換を維持し、必要に応じて状態取得・機能パラメータ更新・記録出力の拡張APIを追加する。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BD-07 状態遷移・運転モード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587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状態</w:t>
            </w:r>
          </w:p>
        </w:tc>
        <w:tc>
          <w:tcPr>
            <w:tcW w:type="dxa" w:w="3969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概要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遷移条件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DISABLED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本機能が無効。通常NC処理のみ実行。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初期状態、解除指令、オプション無効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ARMED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開始指令を受理し、TS_SERVICEが検証・準備中。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開始Gコード/API受理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ACTIVE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RT_CONTROLが本機能の実行ブロックまたはモードを使用中。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検証完了、バッファ充足、安全条件成立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HOLD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一時停止または安全確認中。状態を保持し再開可否を判定。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フィードホールド、TS準備待ち、オペレータ停止</w:t>
            </w:r>
          </w:p>
        </w:tc>
      </w:tr>
      <w:tr>
        <w:tc>
          <w:tcPr>
            <w:tcW w:type="dxa" w:w="1587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ALARM</w:t>
            </w:r>
          </w:p>
        </w:tc>
        <w:tc>
          <w:tcPr>
            <w:tcW w:type="dxa" w:w="3969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異常検出により安全側停止。解除には原因除去とリセットが必要。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入力不整合、干渉、バッファ不足、RT監視異常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BD-08 データ設計・共有メモリ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62"/>
        <w:gridCol w:w="2062"/>
        <w:gridCol w:w="2062"/>
        <w:gridCol w:w="2062"/>
        <w:gridCol w:w="2062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データ</w:t>
            </w:r>
          </w:p>
        </w:tc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所有者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書込元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読取元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g_FeatureRequest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TS/API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開始・解除・パラメータ更新要求。busy/state/generationを持つ。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g_FeatureStatus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API/HMI/ログ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有効状態、異常コード、現在ブロック、バッファ充足率、警告状態。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g_FeatureExecBuffer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RTが直接消費する固定長実行ブロック、補正テーブル、モードスナップショット。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g_machineCtx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TS_SERVICE/API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運転モード、主状態、インターロック、アラームを既存互換で保持。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g_logQueue</w:t>
            </w:r>
          </w:p>
        </w:tc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RTからは固定長ログ要求のみ登録し、永続化はTS_SERVICEで行う。</w:t>
            </w:r>
          </w:p>
        </w:tc>
      </w:tr>
    </w:tbl>
    <w:p>
      <w:r>
        <w:rPr>
          <w:rFonts w:ascii="Noto Sans CJK JP" w:hAnsi="Noto Sans CJK JP" w:eastAsia="Noto Sans CJK JP"/>
          <w:sz w:val="19"/>
        </w:rPr>
        <w:t>複数フィールドを更新するデータは、begin_generation/end_generationまたはvalidフラグで整合性を保証する。RT_CONTROLは世代番号が不一致のデータを採用しない。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BD-09 処理方式</w:t>
      </w:r>
    </w:p>
    <w:p>
      <w:pPr>
        <w:pStyle w:val="ListBullet"/>
      </w:pPr>
      <w:r>
        <w:t>TS_SERVICEがG10.9または外部信号を検出し、PGD設定と方式競合を確認する。</w:t>
      </w:r>
    </w:p>
    <w:p>
      <w:pPr>
        <w:pStyle w:val="ListBullet"/>
      </w:pPr>
      <w:r>
        <w:t>バッファ実行中、軸移動中、サイクル中でないことを確認し、対象軸の指定方式を更新する。</w:t>
      </w:r>
    </w:p>
    <w:p>
      <w:pPr>
        <w:pStyle w:val="ListBullet"/>
      </w:pPr>
      <w:r>
        <w:t>以降のNC座標値を内部半径基準または機械基準へ正規化し、RT実行ブロックへ格納する。</w:t>
      </w:r>
    </w:p>
    <w:p>
      <w:pPr>
        <w:pStyle w:val="ListBullet"/>
      </w:pPr>
      <w:r>
        <w:t>表示系にはDPA/DPM設定に応じた座標値を提供し、RT_CONTROLには正規化済み値のみを渡す。</w:t>
      </w:r>
    </w:p>
    <w:p>
      <w:r>
        <w:rPr>
          <w:rFonts w:ascii="Noto Sans CJK JP" w:hAnsi="Noto Sans CJK JP" w:eastAsia="Noto Sans CJK JP"/>
          <w:sz w:val="19"/>
        </w:rPr>
        <w:t>重い計算、ファイルI/O、可変長文字列処理、メモリ確保、ログ整形はTS_SERVICEに限定する。RT_CONTROLは、固定長構造体と事前計算済み数値のみを参照する。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BD-10 シーケンス概要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85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ステップ</w:t>
            </w:r>
          </w:p>
        </w:tc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主体</w:t>
            </w:r>
          </w:p>
        </w:tc>
        <w:tc>
          <w:tcPr>
            <w:tcW w:type="dxa" w:w="51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処理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失敗時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1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NCブロックまたはAPI要求を受理し、対象機能の開始/解除を識別する。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構文エラーとしてALARMまたはREJECT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モード、軸、補正、座標系、オプション、パラメータ、機械状態の整合性を検証する。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実行前アラーム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3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RT向け固定長データへ変換し、世代番号付きで共有メモリに登録する。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準備失敗、バッファ不足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4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周期ごとに世代番号とvalidを確認し、実行ブロックを消費する。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安全側停止または通常速度へフォールバック</w:t>
            </w:r>
          </w:p>
        </w:tc>
      </w:tr>
      <w:tr>
        <w:tc>
          <w:tcPr>
            <w:tcW w:type="dxa" w:w="85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5</w:t>
            </w:r>
          </w:p>
        </w:tc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RT_OUTPUT/TS_SERVICE</w:t>
            </w:r>
          </w:p>
        </w:tc>
        <w:tc>
          <w:tcPr>
            <w:tcW w:type="dxa" w:w="51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完了状態、ログ、HMI/API表示を更新する。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ログ欠落時もRT制御は継続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BD-11 異常・アラーム設計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134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異常条件</w:t>
            </w:r>
          </w:p>
        </w:tc>
        <w:tc>
          <w:tcPr>
            <w:tcW w:type="dxa" w:w="3402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基本動作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移動中切換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PGDと外部信号方式競合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指令値小数点付き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対象軸不正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  <w:tr>
        <w:tc>
          <w:tcPr>
            <w:tcW w:type="dxa" w:w="1134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ALM-05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表示変換不整合</w:t>
            </w:r>
          </w:p>
        </w:tc>
        <w:tc>
          <w:tcPr>
            <w:tcW w:type="dxa" w:w="3402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RT検出時は即時安全側、TS検出時は実行前拒否または運転停止要求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BD-12 安全設計・フェイルセーフ</w:t>
      </w:r>
    </w:p>
    <w:p>
      <w:pPr>
        <w:pStyle w:val="ListBullet"/>
      </w:pPr>
      <w:r>
        <w:t>RT_CONTROLが危険状態を検出した場合、g_machineCtxをALARMへ遷移させ、RT_OUTPUTで安全側出力を確定する。</w:t>
      </w:r>
    </w:p>
    <w:p>
      <w:pPr>
        <w:pStyle w:val="ListBullet"/>
      </w:pPr>
      <w:r>
        <w:t>TS_SERVICEの準備未完了、世代番号不一致、バッファ不足、パラメータ不正は、RT実行に入る前に拒否する。</w:t>
      </w:r>
    </w:p>
    <w:p>
      <w:pPr>
        <w:pStyle w:val="ListBullet"/>
      </w:pPr>
      <w:r>
        <w:t>運転中に不整合が発生した場合は、加工内容に応じて通常速度フォールバック、段階減速停止、即時停止を選択する。</w:t>
      </w:r>
    </w:p>
    <w:p>
      <w:pPr>
        <w:pStyle w:val="ListBullet"/>
      </w:pPr>
      <w:r>
        <w:t>オペレータ解除は、原因除去、リセット、再準備、インターロック再評価の順に実施する。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BD-13 性能・リアルタイム制約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基本設計方針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固定長データ参照、境界チェック、状態遷移、ログ要求登録のみ。ワーストケース時間を詳細設計で測定する。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TS処理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先読み、変換、補間展開、ファイルI/O、ログ整形など変動時間処理を担当する。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バッファ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RTが消費する前にTSが十分な先読み量を確保する。アンダーラン時は安全側に遷移する。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メモリ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RT側では静的確保済み固定長領域のみ使用する。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BD-14 制約・併用条件</w:t>
      </w:r>
    </w:p>
    <w:p>
      <w:pPr>
        <w:pStyle w:val="ListBullet"/>
      </w:pPr>
      <w:r>
        <w:t>軸移動中やバッファプログラム実行中の切換は禁止</w:t>
      </w:r>
    </w:p>
    <w:p>
      <w:pPr>
        <w:pStyle w:val="ListBullet"/>
      </w:pPr>
      <w:r>
        <w:t>切削送り速度は半径基準で管理</w:t>
      </w:r>
    </w:p>
    <w:p>
      <w:pPr>
        <w:pStyle w:val="ListBullet"/>
      </w:pPr>
      <w:r>
        <w:t>オフセットやワーク座標系は既存DIAx/ORC/ODI優先規則を尊重</w:t>
      </w:r>
    </w:p>
    <w:p>
      <w:r>
        <w:rPr>
          <w:rFonts w:ascii="Noto Sans CJK JP" w:hAnsi="Noto Sans CJK JP" w:eastAsia="Noto Sans CJK JP"/>
          <w:sz w:val="19"/>
        </w:rPr>
        <w:t>併用条件は機種オプション、サーボ設定、座標変換状態、補正状態、サイクル状態によって変化するため、詳細設計で機種別パラメータ表として分離する。</w:t>
      </w:r>
    </w:p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BD-15 操作・表示・API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区分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HMI表示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有効/無効、準備中、実行中、保持中、異常、対象軸、現在ブロック、バッファ充足率、異常コードを表示する。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API状態取得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既存Api_GetStatusSnapshotと互換性を維持し、必要な場合は拡張ステータス構造体を追加する。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API要求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運転モード変更やログフラッシュの既存APIを壊さず、機能固有パラメータ更新は新規APIまたはg_uiRequest拡張で扱う。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操作制限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RUNNING中の危険なパラメータ変更は拒否し、READY/STOPPEDでのみ更新を許可する。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BD-16 ログ・診断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記録内容</w:t>
            </w:r>
          </w:p>
        </w:tc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記録主体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開始/解除指令、パラメータ変更、オペレータ操作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実行ログ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モード遷移、対象ブロック、バッファ状態、速度/補正概要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RT要求→TS保存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アラームID、発生周期、対象軸、NCブロック番号、入力スナップショット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RT_CONTROL/TS_SERVICE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診断ログ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先読み時間、変換時間、RT最大処理時間、世代番号不一致回数</w:t>
            </w:r>
          </w:p>
        </w:tc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TS_SERVICE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BD-17 既存資産への影響調査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対象</w:t>
            </w:r>
          </w:p>
        </w:tc>
        <w:tc>
          <w:tcPr>
            <w:tcW w:type="dxa" w:w="6236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影響内容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機能有効化マクロ、最大軸数、バッファ長、オプション有無の定義追加。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要求/状態/実行バッファ構造体の追加、既存共有メモリとの整合性維持。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必要に応じた状態取得・設定要求APIの追加。既存APIのシグネチャは変更しない。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入力値検証、要求登録、世代番号更新、RUNNING中変更拒否を追加。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RT周期内の固定長実行、異常監視、フェイルセーフ遷移を追加。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NC解析、先読み、変換、ログ保存、HMI連携を追加。</w:t>
            </w:r>
          </w:p>
        </w:tc>
      </w:tr>
      <w:tr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docs/tests</w:t>
            </w:r>
          </w:p>
        </w:tc>
        <w:tc>
          <w:tcPr>
            <w:tcW w:type="dxa" w:w="6236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基本設計、詳細設計、機能テスト、回帰テスト観点を追加。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BD-18 受入条件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受入ID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条件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G10.9により対象軸の指定方式が切り替わる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移動中切換はアラームになる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RT側では正規化済み座標のみを使用する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AC-99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VC2026およびclang Windows版のbuild/testが通ること。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BD-19 テスト観点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観点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正常系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開始、実行、解除、通常運転復帰が仕様通りであること。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異常系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入力不正、モード競合、バッファ不足、インターロック発生時に安全側へ遷移すること。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境界値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軸リミット、速度上限、パラメータ最小/最大、先読み数、補正値上限を確認する。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RT性能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RT_CONTROLのワーストケース処理時間が1割込周期内に収まること。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回帰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既存NCプログラム、既存API、既存共有メモリ、既存ログ出力が互換であること。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BD-20 ビルド・静的解析・実行確認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268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環境</w:t>
            </w:r>
          </w:p>
        </w:tc>
        <w:tc>
          <w:tcPr>
            <w:tcW w:type="dxa" w:w="6803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コマンド/確認内容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VC2026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scripts\build_vc2026.bat および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clang Windows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cmd /c scripts\build_clang.bat および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RT禁止API、動的メモリ確保、ファイルI/O、未初期化、整数オーバーフロー、共有メモリ競合を確認する。</w:t>
            </w:r>
          </w:p>
        </w:tc>
      </w:tr>
      <w:tr>
        <w:tc>
          <w:tcPr>
            <w:tcW w:type="dxa" w:w="2268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成果物確認</w:t>
            </w:r>
          </w:p>
        </w:tc>
        <w:tc>
          <w:tcPr>
            <w:tcW w:type="dxa" w:w="6803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JSON構文、DOCX構造、SECTION_ID、JSON Path、レビュー観点の整合性を確認する。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BD-21 AIプレレビュー観点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ID</w:t>
            </w:r>
          </w:p>
        </w:tc>
        <w:tc>
          <w:tcPr>
            <w:tcW w:type="dxa" w:w="7370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チェック観点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BDR-001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目的、対象範囲、対象外が明確であること。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BDR-002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RT/TS/API責務分担が曖昧でないこと。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BDR-003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共有メモリの所有者、書込元、読取元、整合性方式が定義されていること。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BDR-004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異常検出時の安全側動作が定義されていること。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BDR-005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既存API互換、既存ソース影響、build/test観点が含まれていること。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BDR-006</w:t>
            </w:r>
          </w:p>
        </w:tc>
        <w:tc>
          <w:tcPr>
            <w:tcW w:type="dxa" w:w="7370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詳細設計で確定すべき未決事項が分離されていること。</w:t>
            </w:r>
          </w:p>
        </w:tc>
      </w:tr>
    </w:tbl>
    <w:p>
      <w:pPr>
        <w:pStyle w:val="Heading1"/>
      </w:pPr>
      <w:r>
        <w:rPr>
          <w:rFonts w:ascii="Noto Sans CJK JP" w:hAnsi="Noto Sans CJK JP" w:eastAsia="Noto Sans CJK JP"/>
          <w:b/>
          <w:sz w:val="28"/>
        </w:rPr>
        <w:t>BD-22 未決事項・付録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1701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未決ID</w:t>
            </w:r>
          </w:p>
        </w:tc>
        <w:tc>
          <w:tcPr>
            <w:tcW w:type="dxa" w:w="45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r/>
            <w:r>
              <w:rPr>
                <w:rFonts w:ascii="Noto Sans CJK JP" w:hAnsi="Noto Sans CJK JP" w:eastAsia="Noto Sans CJK JP"/>
                <w:b/>
                <w:sz w:val="17"/>
              </w:rPr>
              <w:t>詳細設計での扱い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TBD-01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機種ごとの実パラメータ番号・有効範囲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機械仕様書/設備パラメータ台帳と照合して確定する。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TBD-02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RT周期内処理時間のusec上限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実装後に計測し、機能別上限値を確定する。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TBD-03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HMI画面の詳細レイアウト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操作設計またはHMI詳細設計で確定する。</w:t>
            </w:r>
          </w:p>
        </w:tc>
      </w:tr>
      <w:tr>
        <w:tc>
          <w:tcPr>
            <w:tcW w:type="dxa" w:w="1701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TBD-04</w:t>
            </w:r>
          </w:p>
        </w:tc>
        <w:tc>
          <w:tcPr>
            <w:tcW w:type="dxa" w:w="45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PLC信号名・ハンドシェイク詳細</w:t>
            </w:r>
          </w:p>
        </w:tc>
        <w:tc>
          <w:tcPr>
            <w:tcW w:type="dxa" w:w="2835"/>
            <w:vAlign w:val="top"/>
          </w:tcPr>
          <w:p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PLCインターフェース台帳と照合して確定する。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07" w:right="964" w:bottom="850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- Draft for AI pre-review / 2026-04-29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基本設計書 v2.0 / 径・半径指定切換機能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Note"/>
    <w:rPr>
      <w:rFonts w:ascii="Noto Sans CJK JP" w:hAnsi="Noto Sans CJK JP" w:eastAsia="Noto Sans CJK JP"/>
      <w:i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