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指数補間機能（G02.3/G03.3）</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BD-008</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設計_指数補間機能.docx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指数補間は、回転軸と直線軸の関係を指数関数的に変化させることにより、一定のねじれ角を持つテーパ溝や特定の螺旋形状を加工するための機能である。通常の円弧補間に比べ、回転角が直線移動に対して指数的に増減するため、溝のピッチが徐々に変化する。</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補間・軌跡生成</w:t>
      </w:r>
    </w:p>
    <w:p>
      <w:pPr>
        <w:spacing w:after="60" w:line="252" w:lineRule="auto"/>
      </w:pPr>
      <w:r>
        <w:rPr>
          <w:rFonts w:ascii="Noto Sans CJK JP" w:hAnsi="Noto Sans CJK JP" w:eastAsia="Noto Sans CJK JP"/>
          <w:sz w:val="20"/>
        </w:rPr>
        <w:t>指数補間機能（G02.3/G03.3）は、入力資料に記載された指令形式、パラメータ、信号、制約をもとに、IBM-Bob基盤のAUTO/MANUAL/MAINT運転モードおよびSTOPPED/READY/RUNNING/ALARM状態と整合するよう実装する。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G01, G02, G02.3, G03, G03.3, G17, G18, G19</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Gコード/パラメータ</w:t>
            </w:r>
          </w:p>
        </w:tc>
        <w:tc>
          <w:tcPr>
            <w:tcW w:type="dxa" w:w="3456"/>
            <w:vAlign w:val="center"/>
            <w:shd w:fill="D9EAF7"/>
          </w:tcPr>
          <w:p>
            <w:r/>
            <w:r>
              <w:rPr>
                <w:rFonts w:ascii="Noto Sans CJK JP" w:hAnsi="Noto Sans CJK JP" w:eastAsia="Noto Sans CJK JP"/>
                <w:b/>
                <w:sz w:val="15"/>
              </w:rPr>
              <w:t>意味</w:t>
            </w:r>
          </w:p>
        </w:tc>
        <w:tc>
          <w:tcPr>
            <w:tcW w:type="dxa" w:w="3456"/>
            <w:vAlign w:val="center"/>
            <w:shd w:fill="D9EAF7"/>
          </w:tcPr>
          <w:p>
            <w:r/>
            <w:r>
              <w:rPr>
                <w:rFonts w:ascii="Noto Sans CJK JP" w:hAnsi="Noto Sans CJK JP" w:eastAsia="Noto Sans CJK JP"/>
                <w:b/>
                <w:sz w:val="15"/>
              </w:rPr>
              <w:t>備考</w:t>
            </w:r>
          </w:p>
        </w:tc>
      </w:tr>
      <w:tr>
        <w:tc>
          <w:tcPr>
            <w:tcW w:type="dxa" w:w="3456"/>
            <w:vAlign w:val="center"/>
          </w:tcPr>
          <w:p>
            <w:r/>
            <w:r>
              <w:rPr>
                <w:rFonts w:ascii="Noto Sans CJK JP" w:hAnsi="Noto Sans CJK JP" w:eastAsia="Noto Sans CJK JP"/>
                <w:b w:val="0"/>
                <w:sz w:val="15"/>
              </w:rPr>
              <w:t>G02.3</w:t>
            </w:r>
          </w:p>
        </w:tc>
        <w:tc>
          <w:tcPr>
            <w:tcW w:type="dxa" w:w="3456"/>
            <w:vAlign w:val="center"/>
          </w:tcPr>
          <w:p>
            <w:r/>
            <w:r>
              <w:rPr>
                <w:rFonts w:ascii="Noto Sans CJK JP" w:hAnsi="Noto Sans CJK JP" w:eastAsia="Noto Sans CJK JP"/>
                <w:b w:val="0"/>
                <w:sz w:val="15"/>
              </w:rPr>
              <w:t>指数関係補間（正の指数）</w:t>
            </w:r>
          </w:p>
        </w:tc>
        <w:tc>
          <w:tcPr>
            <w:tcW w:type="dxa" w:w="3456"/>
            <w:vAlign w:val="center"/>
          </w:tcPr>
          <w:p>
            <w:r/>
            <w:r>
              <w:rPr>
                <w:rFonts w:ascii="Noto Sans CJK JP" w:hAnsi="Noto Sans CJK JP" w:eastAsia="Noto Sans CJK JP"/>
                <w:b w:val="0"/>
                <w:sz w:val="15"/>
              </w:rPr>
              <w:t>回転角が正方向に指数的に増加する</w:t>
            </w:r>
          </w:p>
        </w:tc>
      </w:tr>
      <w:tr>
        <w:tc>
          <w:tcPr>
            <w:tcW w:type="dxa" w:w="3456"/>
            <w:vAlign w:val="center"/>
          </w:tcPr>
          <w:p>
            <w:r/>
            <w:r>
              <w:rPr>
                <w:rFonts w:ascii="Noto Sans CJK JP" w:hAnsi="Noto Sans CJK JP" w:eastAsia="Noto Sans CJK JP"/>
                <w:b w:val="0"/>
                <w:sz w:val="15"/>
              </w:rPr>
              <w:t>G03.3</w:t>
            </w:r>
          </w:p>
        </w:tc>
        <w:tc>
          <w:tcPr>
            <w:tcW w:type="dxa" w:w="3456"/>
            <w:vAlign w:val="center"/>
          </w:tcPr>
          <w:p>
            <w:r/>
            <w:r>
              <w:rPr>
                <w:rFonts w:ascii="Noto Sans CJK JP" w:hAnsi="Noto Sans CJK JP" w:eastAsia="Noto Sans CJK JP"/>
                <w:b w:val="0"/>
                <w:sz w:val="15"/>
              </w:rPr>
              <w:t>指数関係補間（負の指数）</w:t>
            </w:r>
          </w:p>
        </w:tc>
        <w:tc>
          <w:tcPr>
            <w:tcW w:type="dxa" w:w="3456"/>
            <w:vAlign w:val="center"/>
          </w:tcPr>
          <w:p>
            <w:r/>
            <w:r>
              <w:rPr>
                <w:rFonts w:ascii="Noto Sans CJK JP" w:hAnsi="Noto Sans CJK JP" w:eastAsia="Noto Sans CJK JP"/>
                <w:b w:val="0"/>
                <w:sz w:val="15"/>
              </w:rPr>
              <w:t>回転角が負方向に指数的に増加する</w:t>
            </w:r>
          </w:p>
        </w:tc>
      </w:tr>
      <w:tr>
        <w:tc>
          <w:tcPr>
            <w:tcW w:type="dxa" w:w="3456"/>
            <w:vAlign w:val="center"/>
          </w:tcPr>
          <w:p>
            <w:r/>
            <w:r>
              <w:rPr>
                <w:rFonts w:ascii="Noto Sans CJK JP" w:hAnsi="Noto Sans CJK JP" w:eastAsia="Noto Sans CJK JP"/>
                <w:b w:val="0"/>
                <w:sz w:val="15"/>
              </w:rPr>
              <w:t>X,Y,Z</w:t>
            </w:r>
          </w:p>
        </w:tc>
        <w:tc>
          <w:tcPr>
            <w:tcW w:type="dxa" w:w="3456"/>
            <w:vAlign w:val="center"/>
          </w:tcPr>
          <w:p>
            <w:r/>
            <w:r>
              <w:rPr>
                <w:rFonts w:ascii="Noto Sans CJK JP" w:hAnsi="Noto Sans CJK JP" w:eastAsia="Noto Sans CJK JP"/>
                <w:b w:val="0"/>
                <w:sz w:val="15"/>
              </w:rPr>
              <w:t>終点座標</w:t>
            </w:r>
          </w:p>
        </w:tc>
        <w:tc>
          <w:tcPr>
            <w:tcW w:type="dxa" w:w="3456"/>
            <w:vAlign w:val="center"/>
          </w:tcPr>
          <w:p>
            <w:r/>
            <w:r>
              <w:rPr>
                <w:rFonts w:ascii="Noto Sans CJK JP" w:hAnsi="Noto Sans CJK JP" w:eastAsia="Noto Sans CJK JP"/>
                <w:b w:val="0"/>
                <w:sz w:val="15"/>
              </w:rPr>
              <w:t>補間平面に応じて指定</w:t>
            </w:r>
          </w:p>
        </w:tc>
      </w:tr>
      <w:tr>
        <w:tc>
          <w:tcPr>
            <w:tcW w:type="dxa" w:w="3456"/>
            <w:vAlign w:val="center"/>
          </w:tcPr>
          <w:p>
            <w:r/>
            <w:r>
              <w:rPr>
                <w:rFonts w:ascii="Noto Sans CJK JP" w:hAnsi="Noto Sans CJK JP" w:eastAsia="Noto Sans CJK JP"/>
                <w:b w:val="0"/>
                <w:sz w:val="15"/>
              </w:rPr>
              <w:t>I,J</w:t>
            </w:r>
          </w:p>
        </w:tc>
        <w:tc>
          <w:tcPr>
            <w:tcW w:type="dxa" w:w="3456"/>
            <w:vAlign w:val="center"/>
          </w:tcPr>
          <w:p>
            <w:r/>
            <w:r>
              <w:rPr>
                <w:rFonts w:ascii="Noto Sans CJK JP" w:hAnsi="Noto Sans CJK JP" w:eastAsia="Noto Sans CJK JP"/>
                <w:b w:val="0"/>
                <w:sz w:val="15"/>
              </w:rPr>
              <w:t>指数角のパラメータ</w:t>
            </w:r>
          </w:p>
        </w:tc>
        <w:tc>
          <w:tcPr>
            <w:tcW w:type="dxa" w:w="3456"/>
            <w:vAlign w:val="center"/>
          </w:tcPr>
          <w:p>
            <w:r/>
            <w:r>
              <w:rPr>
                <w:rFonts w:ascii="Noto Sans CJK JP" w:hAnsi="Noto Sans CJK JP" w:eastAsia="Noto Sans CJK JP"/>
                <w:b w:val="0"/>
                <w:sz w:val="15"/>
              </w:rPr>
              <w:t>角度（deg）またはラジアン単位で指定【324834781460892†L126-L138】</w:t>
            </w:r>
          </w:p>
        </w:tc>
      </w:tr>
      <w:tr>
        <w:tc>
          <w:tcPr>
            <w:tcW w:type="dxa" w:w="3456"/>
            <w:vAlign w:val="center"/>
          </w:tcPr>
          <w:p>
            <w:r/>
            <w:r>
              <w:rPr>
                <w:rFonts w:ascii="Noto Sans CJK JP" w:hAnsi="Noto Sans CJK JP" w:eastAsia="Noto Sans CJK JP"/>
                <w:b w:val="0"/>
                <w:sz w:val="15"/>
              </w:rPr>
              <w:t>K</w:t>
            </w:r>
          </w:p>
        </w:tc>
        <w:tc>
          <w:tcPr>
            <w:tcW w:type="dxa" w:w="3456"/>
            <w:vAlign w:val="center"/>
          </w:tcPr>
          <w:p>
            <w:r/>
            <w:r>
              <w:rPr>
                <w:rFonts w:ascii="Noto Sans CJK JP" w:hAnsi="Noto Sans CJK JP" w:eastAsia="Noto Sans CJK JP"/>
                <w:b w:val="0"/>
                <w:sz w:val="15"/>
              </w:rPr>
              <w:t>直線軸の分割数または割り当て</w:t>
            </w:r>
          </w:p>
        </w:tc>
        <w:tc>
          <w:tcPr>
            <w:tcW w:type="dxa" w:w="3456"/>
            <w:vAlign w:val="center"/>
          </w:tcPr>
          <w:p>
            <w:r/>
            <w:r>
              <w:rPr>
                <w:rFonts w:ascii="Noto Sans CJK JP" w:hAnsi="Noto Sans CJK JP" w:eastAsia="Noto Sans CJK JP"/>
                <w:b w:val="0"/>
                <w:sz w:val="15"/>
              </w:rPr>
              <w:t>指数関数の分母として使用される</w:t>
            </w:r>
          </w:p>
        </w:tc>
      </w:tr>
      <w:tr>
        <w:tc>
          <w:tcPr>
            <w:tcW w:type="dxa" w:w="3456"/>
            <w:vAlign w:val="center"/>
          </w:tcPr>
          <w:p>
            <w:r/>
            <w:r>
              <w:rPr>
                <w:rFonts w:ascii="Noto Sans CJK JP" w:hAnsi="Noto Sans CJK JP" w:eastAsia="Noto Sans CJK JP"/>
                <w:b w:val="0"/>
                <w:sz w:val="15"/>
              </w:rPr>
              <w:t>R</w:t>
            </w:r>
          </w:p>
        </w:tc>
        <w:tc>
          <w:tcPr>
            <w:tcW w:type="dxa" w:w="3456"/>
            <w:vAlign w:val="center"/>
          </w:tcPr>
          <w:p>
            <w:r/>
            <w:r>
              <w:rPr>
                <w:rFonts w:ascii="Noto Sans CJK JP" w:hAnsi="Noto Sans CJK JP" w:eastAsia="Noto Sans CJK JP"/>
                <w:b w:val="0"/>
                <w:sz w:val="15"/>
              </w:rPr>
              <w:t>指数定数</w:t>
            </w:r>
          </w:p>
        </w:tc>
        <w:tc>
          <w:tcPr>
            <w:tcW w:type="dxa" w:w="3456"/>
            <w:vAlign w:val="center"/>
          </w:tcPr>
          <w:p>
            <w:r/>
            <w:r>
              <w:rPr>
                <w:rFonts w:ascii="Noto Sans CJK JP" w:hAnsi="Noto Sans CJK JP" w:eastAsia="Noto Sans CJK JP"/>
                <w:b w:val="0"/>
                <w:sz w:val="15"/>
              </w:rPr>
              <w:t>指数関数の基準定数</w:t>
            </w:r>
          </w:p>
        </w:tc>
      </w:tr>
      <w:tr>
        <w:tc>
          <w:tcPr>
            <w:tcW w:type="dxa" w:w="3456"/>
            <w:vAlign w:val="center"/>
          </w:tcPr>
          <w:p>
            <w:r/>
            <w:r>
              <w:rPr>
                <w:rFonts w:ascii="Noto Sans CJK JP" w:hAnsi="Noto Sans CJK JP" w:eastAsia="Noto Sans CJK JP"/>
                <w:b w:val="0"/>
                <w:sz w:val="15"/>
              </w:rPr>
              <w:t>F</w:t>
            </w:r>
          </w:p>
        </w:tc>
        <w:tc>
          <w:tcPr>
            <w:tcW w:type="dxa" w:w="3456"/>
            <w:vAlign w:val="center"/>
          </w:tcPr>
          <w:p>
            <w:r/>
            <w:r>
              <w:rPr>
                <w:rFonts w:ascii="Noto Sans CJK JP" w:hAnsi="Noto Sans CJK JP" w:eastAsia="Noto Sans CJK JP"/>
                <w:b w:val="0"/>
                <w:sz w:val="15"/>
              </w:rPr>
              <w:t>初期送り速度</w:t>
            </w:r>
          </w:p>
        </w:tc>
        <w:tc>
          <w:tcPr>
            <w:tcW w:type="dxa" w:w="3456"/>
            <w:vAlign w:val="center"/>
          </w:tcPr>
          <w:p>
            <w:r/>
            <w:r>
              <w:rPr>
                <w:rFonts w:ascii="Noto Sans CJK JP" w:hAnsi="Noto Sans CJK JP" w:eastAsia="Noto Sans CJK JP"/>
                <w:b w:val="0"/>
                <w:sz w:val="15"/>
              </w:rPr>
              <w:t>指数補間開始時の送り</w:t>
            </w:r>
          </w:p>
        </w:tc>
      </w:tr>
      <w:tr>
        <w:tc>
          <w:tcPr>
            <w:tcW w:type="dxa" w:w="3456"/>
            <w:vAlign w:val="center"/>
          </w:tcPr>
          <w:p>
            <w:r/>
            <w:r>
              <w:rPr>
                <w:rFonts w:ascii="Noto Sans CJK JP" w:hAnsi="Noto Sans CJK JP" w:eastAsia="Noto Sans CJK JP"/>
                <w:b w:val="0"/>
                <w:sz w:val="15"/>
              </w:rPr>
              <w:t>Q</w:t>
            </w:r>
          </w:p>
        </w:tc>
        <w:tc>
          <w:tcPr>
            <w:tcW w:type="dxa" w:w="3456"/>
            <w:vAlign w:val="center"/>
          </w:tcPr>
          <w:p>
            <w:r/>
            <w:r>
              <w:rPr>
                <w:rFonts w:ascii="Noto Sans CJK JP" w:hAnsi="Noto Sans CJK JP" w:eastAsia="Noto Sans CJK JP"/>
                <w:b w:val="0"/>
                <w:sz w:val="15"/>
              </w:rPr>
              <w:t>終点送り速度</w:t>
            </w:r>
          </w:p>
        </w:tc>
        <w:tc>
          <w:tcPr>
            <w:tcW w:type="dxa" w:w="3456"/>
            <w:vAlign w:val="center"/>
          </w:tcPr>
          <w:p>
            <w:r/>
            <w:r>
              <w:rPr>
                <w:rFonts w:ascii="Noto Sans CJK JP" w:hAnsi="Noto Sans CJK JP" w:eastAsia="Noto Sans CJK JP"/>
                <w:b w:val="0"/>
                <w:sz w:val="15"/>
              </w:rPr>
              <w:t>補間終了時の送り速度</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g_featureConfig[8]</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指数補間機能（G02.3/G03.3）の有効/無効、軸選択、パラメータ、制限値を格納する追加候補。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g_featureStatus[8]</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指数補間機能（G02.3/G03.3）の動作中、完了、キャンセル、アラーム、診断値を格納する追加候補。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指数補間は指定された平面（G17/G18/G19）上で有効である。プログラム中で開始する前に平面を選択し、G02.3 または G03.3 を指定する。</w:t>
        <w:br/>
        <w:t>2. X/Y/Z で終点を指定し、I/J で指数角度、K で直線軸に対する分割、R で指数定数、F で開始送り速度、Q で終了送り速度を指定する。</w:t>
        <w:br/>
        <w:t>3. 制御装置は線形軸の進行に伴って回転軸の回転角を指数関数的に変化させる。</w:t>
        <w:br/>
        <w:t>4. 補間終了後、通常の補間モードに戻る。</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・指数補間は特殊な加工に用いるため、対応するオプションが必要となる場合がある。</w:t>
        <w:br/>
        <w:t>・I/J の角度や R の定数値には実機により入力範囲があり、仕様を確認して設定する【324834781460892†L126-L138】。</w:t>
        <w:br/>
        <w:t>・送り速度が開始から終了まで指数的に変化するため、加工物の材質や工具負荷に注意して値を設定する。</w:t>
      </w:r>
    </w:p>
    <w:p>
      <w:pPr>
        <w:pStyle w:val="ListBullet"/>
      </w:pPr>
      <w:r>
        <w:rPr>
          <w:rFonts w:ascii="Noto Sans CJK JP" w:hAnsi="Noto Sans CJK JP" w:eastAsia="Noto Sans CJK JP"/>
          <w:sz w:val="19"/>
        </w:rPr>
        <w:t>・G02.3/G03.3: 指数補間を開始する。終点をX,Y,Zで、I,J:指数角度; K:分割数; R:指数定数; F:開始送り; Q:終了送りを指定する。</w:t>
      </w:r>
    </w:p>
    <w:p>
      <w:pPr>
        <w:pStyle w:val="ListBullet"/>
      </w:pPr>
      <w:r>
        <w:rPr>
          <w:rFonts w:ascii="Noto Sans CJK JP" w:hAnsi="Noto Sans CJK JP" w:eastAsia="Noto Sans CJK JP"/>
          <w:sz w:val="19"/>
        </w:rPr>
        <w:t>・指数補間終了後はG01/G02/G03など通常の補間モードに戻ります。</w:t>
      </w:r>
    </w:p>
    <w:p>
      <w:pPr>
        <w:pStyle w:val="ListBullet"/>
      </w:pPr>
      <w:r>
        <w:rPr>
          <w:rFonts w:ascii="Noto Sans CJK JP" w:hAnsi="Noto Sans CJK JP" w:eastAsia="Noto Sans CJK JP"/>
          <w:sz w:val="19"/>
        </w:rPr>
        <w:t>・I/JやRの範囲は機械仕様により制限されるため、過大な値を指定しないようマニュアルを参照してください【324834781460892†L126-L138】。</w:t>
      </w:r>
    </w:p>
    <w:p>
      <w:pPr>
        <w:pStyle w:val="ListBullet"/>
      </w:pPr>
      <w:r>
        <w:rPr>
          <w:rFonts w:ascii="Noto Sans CJK JP" w:hAnsi="Noto Sans CJK JP" w:eastAsia="Noto Sans CJK JP"/>
          <w:sz w:val="19"/>
        </w:rPr>
        <w:t>・指数的な送り変化により工具負荷が大きく変動するため、実加工前にシミュレーションで確認します。</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Api_RequestFeature08ConfigChange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Api_GetFeature08Status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Api_ClearFeature08AlarmRequest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指数補間機能（G02.3/G03.3）を使用可能にする設備別設定。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設計_指数補間機能.docx</w:t>
            </w:r>
          </w:p>
        </w:tc>
        <w:tc>
          <w:tcPr>
            <w:tcW w:type="dxa" w:w="3456"/>
            <w:vAlign w:val="center"/>
          </w:tcPr>
          <w:p>
            <w:r/>
            <w:r>
              <w:rPr>
                <w:rFonts w:ascii="Noto Sans CJK JP" w:hAnsi="Noto Sans CJK JP" w:eastAsia="Noto Sans CJK JP"/>
                <w:b w:val="0"/>
                <w:sz w:val="16"/>
              </w:rPr>
              <w:t>指数補間機能（G02.3/G03.3）の目的、インターフェース、処理の流れ、留意事項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指数補間機能（G02.3/G03.3）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