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Noto Sans CJK JP" w:hAnsi="Noto Sans CJK JP" w:eastAsia="Noto Sans CJK JP"/>
          <w:b/>
          <w:color w:val="1F4E79"/>
          <w:sz w:val="40"/>
        </w:rPr>
        <w:br/>
        <w:br/>
        <w:t>IBM-Bob 詳細設計書</w:t>
      </w:r>
    </w:p>
    <w:p>
      <w:pPr>
        <w:jc w:val="center"/>
      </w:pPr>
      <w:r>
        <w:rPr>
          <w:rFonts w:ascii="Noto Sans CJK JP" w:hAnsi="Noto Sans CJK JP" w:eastAsia="Noto Sans CJK JP"/>
          <w:b/>
          <w:sz w:val="36"/>
        </w:rPr>
        <w:t>ローカル座標系機能</w:t>
      </w:r>
    </w:p>
    <w:p>
      <w:pPr>
        <w:jc w:val="center"/>
      </w:pPr>
      <w:r>
        <w:rPr>
          <w:rFonts w:ascii="Noto Sans CJK JP" w:hAnsi="Noto Sans CJK JP" w:eastAsia="Noto Sans CJK JP"/>
          <w:sz w:val="20"/>
        </w:rPr>
        <w:t>文書ID: DD-CNC-316 / Version 0.1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文書種別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IBM-Bob Detail Design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テンプレート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IBM-Bob 詳細設計書テンプレート v2.0 相当 (DD-00〜DD-24)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対象機能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ローカル座標系機能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分類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座標系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入力元基本設計書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BD-CNC-316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入力元資料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設計_ローカル座標系機能.docx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作成日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2026-04-29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本書は基本設計書を入力として、IBM-Bob既存制御基盤への実装を行うための詳細設計を定義する。RT/TS/API分離、共有メモリ、リアルタイム制約、異常安全、ビルド・テスト観点を含む。</w:t>
      </w:r>
    </w:p>
    <w:p>
      <w:r>
        <w:br w:type="page"/>
      </w:r>
    </w:p>
    <w:p>
      <w:pPr>
        <w:pStyle w:val="Heading1"/>
      </w:pPr>
      <w:r>
        <w:rPr>
          <w:rFonts w:ascii="Noto Sans CJK JP" w:hAnsi="Noto Sans CJK JP" w:eastAsia="Noto Sans CJK JP"/>
        </w:rPr>
        <w:t>DD-00 文書管理・変更履歴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1134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版</w:t>
            </w:r>
          </w:p>
        </w:tc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日付</w:t>
            </w:r>
          </w:p>
        </w:tc>
        <w:tc>
          <w:tcPr>
            <w:tcW w:type="dxa" w:w="4535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変更内容</w:t>
            </w:r>
          </w:p>
        </w:tc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作成者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0.1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2026-04-29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初版作成。基本設計書から詳細設計書へ展開。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IBM-Bob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JSON Path: $.metadata, $.section_ids</w:t>
      </w:r>
    </w:p>
    <w:p>
      <w:pPr>
        <w:pStyle w:val="Heading1"/>
      </w:pPr>
      <w:r>
        <w:rPr>
          <w:rFonts w:ascii="Noto Sans CJK JP" w:hAnsi="Noto Sans CJK JP" w:eastAsia="Noto Sans CJK JP"/>
        </w:rPr>
        <w:t>DD-01 目的・適用範囲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現在選択中のワーク座標系に対して一時的な原点シフトを設定し、繰返し形状や局所加工を簡易にプログラムできるようにする。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適用範囲: ローカル座標系機能のNC指令解析、パラメータ検証、RT周期実行、状態通知、異常安全処理。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適用外: 実機固有のPMCラダー詳細、サーボゲイン調整、工具・治具そのものの機械設計。</w:t>
      </w:r>
    </w:p>
    <w:p>
      <w:pPr>
        <w:pStyle w:val="Heading1"/>
      </w:pPr>
      <w:r>
        <w:rPr>
          <w:rFonts w:ascii="Noto Sans CJK JP" w:hAnsi="Noto Sans CJK JP" w:eastAsia="Noto Sans CJK JP"/>
        </w:rPr>
        <w:t>DD-02 関連文書・入力情報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種別</w:t>
            </w:r>
          </w:p>
        </w:tc>
        <w:tc>
          <w:tcPr>
            <w:tcW w:type="dxa" w:w="3402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文書/情報</w:t>
            </w:r>
          </w:p>
        </w:tc>
        <w:tc>
          <w:tcPr>
            <w:tcW w:type="dxa" w:w="3969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用途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基本設計書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BD-CNC-316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機能要求・制約・受入条件の入力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入力資料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設計_ローカル座標系機能.docx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Gコード、パラメータ、注意事項の根拠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既存基盤設計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IBM-Bob 基盤システム基本/詳細設計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RT/TS/API/共有メモリ方針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テンプレート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IBM-Bob 詳細設計書テンプレート v2.0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章立て、JSON相互変換、プレレビュー基準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DD-03 基本設計トレーサビリティ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基本設計</w:t>
            </w:r>
          </w:p>
        </w:tc>
        <w:tc>
          <w:tcPr>
            <w:tcW w:type="dxa" w:w="226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詳細設計</w:t>
            </w:r>
          </w:p>
        </w:tc>
        <w:tc>
          <w:tcPr>
            <w:tcW w:type="dxa" w:w="5102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展開内容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BD-01/BD-02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DD-01/DD-05</w:t>
            </w:r>
          </w:p>
        </w:tc>
        <w:tc>
          <w:tcPr>
            <w:tcW w:type="dxa" w:w="51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目的・機能要求の詳細化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BD-06/BD-07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DD-06/DD-11/DD-12</w:t>
            </w:r>
          </w:p>
        </w:tc>
        <w:tc>
          <w:tcPr>
            <w:tcW w:type="dxa" w:w="51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RT/TS/API処理分担の具体化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BD-09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DD-07/DD-16</w:t>
            </w:r>
          </w:p>
        </w:tc>
        <w:tc>
          <w:tcPr>
            <w:tcW w:type="dxa" w:w="51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共有メモリ・整合性方式の具体化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BD-14/BD-15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DD-14/DD-15</w:t>
            </w:r>
          </w:p>
        </w:tc>
        <w:tc>
          <w:tcPr>
            <w:tcW w:type="dxa" w:w="51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異常検出・フェイルセーフ設計の具体化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DD-04 既存基盤前提・処理配置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Windows C言語マルチスレッド機械制御基盤。RT_INPUT/RT_CONTROL/RT_OUTPUTを割込周期内で実行し、TS_SERVICEがファイルI/O、NC解析、ログ、HMI/API連携を担当する。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区分</w:t>
            </w:r>
          </w:p>
        </w:tc>
        <w:tc>
          <w:tcPr>
            <w:tcW w:type="dxa" w:w="7370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方針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RT_INPUT/RT_CONTROL/RT_OUTPUTは固定周期内で完了し、Windows API、ファイルI/O、動的メモリ確保、長時間ブロッキングを使用しない。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TS_SERVICEはNC解析、パラメータ検証、ログ、画面/API連携、事前計算を担当する。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API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公開APIは要求登録とスナップショット取得に限定し、最終状態確定はRT_CONTROLまたはTS_SERVICEで行う。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機能グループ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座標系・オフセット変換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DD-05 機能要求詳細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G52でローカル座標系を設定し、G52 X0 Y0 Z0等で解除する。TS_SERVICEがシフト量をワーク座標系に重ね、後続ブロックを内部機械座標へ変換する。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分類</w:t>
            </w:r>
          </w:p>
        </w:tc>
        <w:tc>
          <w:tcPr>
            <w:tcW w:type="dxa" w:w="7370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入力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G52シフト量</w:t>
              <w:br/>
              <w:t>現在ワーク座標系</w:t>
              <w:br/>
              <w:t>絶対/増分指定</w:t>
              <w:br/>
              <w:t>補正状態</w:t>
              <w:br/>
              <w:t>座標系選択状態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Gコード/指令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G52 X/Y/Z__: ローカル座標系設定</w:t>
              <w:br/>
              <w:t>G52 X0 Y0 Z0: ローカル座標系キャンセル</w:t>
              <w:br/>
              <w:t>G54〜G59: 選択変更時の解除条件</w:t>
              <w:br/>
              <w:t>手動レファレンス点復帰時キャンセルパラメータ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出力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ローカル座標シフト状態</w:t>
              <w:br/>
              <w:t>変換済み目標座標</w:t>
              <w:br/>
              <w:t>解除状態</w:t>
              <w:br/>
              <w:t>安全確認アラーム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要求はTS_SERVICEで正規化し、RT_CONTROLへは固定長の確定済みデータとして渡す。これによりRT周期内の実行時間ばらつきを抑制する。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DD-06 モジュール構成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835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モジュール</w:t>
            </w:r>
          </w:p>
        </w:tc>
        <w:tc>
          <w:tcPr>
            <w:tcW w:type="dxa" w:w="6236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責務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TS_COORD_VALIDATE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座標系設定値、オフセット番号、変換行列の妥当性を検証する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TS_COORD_MATRIX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平行移動・回転・動的オフセット行列を生成する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RT_COORD_APPLY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周期内で選択中の変換テーブルを参照し、軸指令へ適用する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API_COORD_STATUS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外部画面向けの座標系状態スナップショットを返す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各モジュールは既存ソースへ最小差分で追加する。公開ヘッダの互換性を維持し、既存APIのシグネチャ変更は行わない。</w:t>
      </w:r>
    </w:p>
    <w:p>
      <w:pPr>
        <w:pStyle w:val="Heading1"/>
      </w:pPr>
      <w:r>
        <w:rPr>
          <w:rFonts w:ascii="Noto Sans CJK JP" w:hAnsi="Noto Sans CJK JP" w:eastAsia="Noto Sans CJK JP"/>
        </w:rPr>
        <w:t>DD-07 共有メモリ・グローバル変数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1814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3"/>
              </w:rPr>
              <w:t>名称</w:t>
            </w:r>
          </w:p>
        </w:tc>
        <w:tc>
          <w:tcPr>
            <w:tcW w:type="dxa" w:w="136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3"/>
              </w:rPr>
              <w:t>所有者</w:t>
            </w:r>
          </w:p>
        </w:tc>
        <w:tc>
          <w:tcPr>
            <w:tcW w:type="dxa" w:w="153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3"/>
              </w:rPr>
              <w:t>書込元</w:t>
            </w:r>
          </w:p>
        </w:tc>
        <w:tc>
          <w:tcPr>
            <w:tcW w:type="dxa" w:w="153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3"/>
              </w:rPr>
              <w:t>読取元</w:t>
            </w:r>
          </w:p>
        </w:tc>
        <w:tc>
          <w:tcPr>
            <w:tcW w:type="dxa" w:w="136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3"/>
              </w:rPr>
              <w:t>周期</w:t>
            </w:r>
          </w:p>
        </w:tc>
        <w:tc>
          <w:tcPr>
            <w:tcW w:type="dxa" w:w="204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3"/>
              </w:rPr>
              <w:t>整合性</w:t>
            </w:r>
          </w:p>
        </w:tc>
      </w:tr>
      <w:tr>
        <w:tc>
          <w:tcPr>
            <w:tcW w:type="dxa" w:w="181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g_coordRequest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API/TS_SERVICE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API, TS_SERVICE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TS_SERVICE, RT_CONTROL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要求発生時</w:t>
            </w:r>
          </w:p>
        </w:tc>
        <w:tc>
          <w:tcPr>
            <w:tcW w:type="dxa" w:w="204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request_idとgenerationの二相更新</w:t>
            </w:r>
          </w:p>
        </w:tc>
      </w:tr>
      <w:tr>
        <w:tc>
          <w:tcPr>
            <w:tcW w:type="dxa" w:w="181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g_coordStatus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RT_CONTROL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RT_CONTROL, TS_SERVICE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API, UI, TS_SERVICE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RT周期/TS周期</w:t>
            </w:r>
          </w:p>
        </w:tc>
        <w:tc>
          <w:tcPr>
            <w:tcW w:type="dxa" w:w="204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state更新後にgenerationをインクリメント</w:t>
            </w:r>
          </w:p>
        </w:tc>
      </w:tr>
      <w:tr>
        <w:tc>
          <w:tcPr>
            <w:tcW w:type="dxa" w:w="181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g_coordParam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TS_SERVICE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TS_SERVICE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RT_CONTROL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設定変更時</w:t>
            </w:r>
          </w:p>
        </w:tc>
        <w:tc>
          <w:tcPr>
            <w:tcW w:type="dxa" w:w="204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inactive領域で編集後にactive_indexを切替</w:t>
            </w:r>
          </w:p>
        </w:tc>
      </w:tr>
      <w:tr>
        <w:tc>
          <w:tcPr>
            <w:tcW w:type="dxa" w:w="181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g_machineCtx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RT_CONTROL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RT_CONTROL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TS_SERVICE/API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RT周期</w:t>
            </w:r>
          </w:p>
        </w:tc>
        <w:tc>
          <w:tcPr>
            <w:tcW w:type="dxa" w:w="204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既存世代番号に追随</w:t>
            </w:r>
          </w:p>
        </w:tc>
      </w:tr>
      <w:tr>
        <w:tc>
          <w:tcPr>
            <w:tcW w:type="dxa" w:w="181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g_logQueue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TS_SERVICE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RT_CONTROL/TS_SERVICE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TS_SERVICE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イベント発生時</w:t>
            </w:r>
          </w:p>
        </w:tc>
        <w:tc>
          <w:tcPr>
            <w:tcW w:type="dxa" w:w="204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固定長リング、上書き時は欠落カウンタ更新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共有メモリは固定長構造体とし、RT側ではポインタ差替えや動的確保を行わない。複数フィールド更新は世代番号またはactive_index切替で一貫性を保証する。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DD-08 公開API詳細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255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API</w:t>
            </w:r>
          </w:p>
        </w:tc>
        <w:tc>
          <w:tcPr>
            <w:tcW w:type="dxa" w:w="1417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方向</w:t>
            </w:r>
          </w:p>
        </w:tc>
        <w:tc>
          <w:tcPr>
            <w:tcW w:type="dxa" w:w="3402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役割</w:t>
            </w:r>
          </w:p>
        </w:tc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RT安全方針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Api_RequestCOORDMode</w:t>
            </w:r>
          </w:p>
        </w:tc>
        <w:tc>
          <w:tcPr>
            <w:tcW w:type="dxa" w:w="1417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UI/外部→TS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機能有効化・解除または設定変更を要求する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直接RT状態を書き換えない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Api_GetCOORDStatus</w:t>
            </w:r>
          </w:p>
        </w:tc>
        <w:tc>
          <w:tcPr>
            <w:tcW w:type="dxa" w:w="1417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外部←状態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機能状態、アラーム、処理中ブロック番号を取得する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スナップショットのみ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Api_SetCOORDParameter</w:t>
            </w:r>
          </w:p>
        </w:tc>
        <w:tc>
          <w:tcPr>
            <w:tcW w:type="dxa" w:w="1417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UI/保守→TS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設備依存パラメータを検証キューへ登録する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運転中変更不可項目をTSで拒否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API戻り値はOK/INVALID_PARAM/BUSY/NOT_READY/ALARMの5分類を基本とする。詳細エラーはstatus.last_error_codeとログに格納する。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DD-09 入力解析・パラメータ正規化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NCブロック、設定パラメータ、PMC/外部信号は、TS_SERVICEで以下の順に検証する。</w:t>
      </w:r>
    </w:p>
    <w:p>
      <w:pPr>
        <w:pStyle w:val="ListNumber"/>
        <w:spacing w:after="20"/>
      </w:pPr>
      <w:r>
        <w:rPr>
          <w:rFonts w:ascii="Noto Sans CJK JP" w:hAnsi="Noto Sans CJK JP" w:eastAsia="Noto Sans CJK JP"/>
          <w:sz w:val="17"/>
        </w:rPr>
        <w:t>構文・アドレス有無・値範囲を検証する。</w:t>
      </w:r>
    </w:p>
    <w:p>
      <w:pPr>
        <w:pStyle w:val="ListNumber"/>
        <w:spacing w:after="20"/>
      </w:pPr>
      <w:r>
        <w:rPr>
          <w:rFonts w:ascii="Noto Sans CJK JP" w:hAnsi="Noto Sans CJK JP" w:eastAsia="Noto Sans CJK JP"/>
          <w:sz w:val="17"/>
        </w:rPr>
        <w:t>現在のモード、座標系、補正、原点確立状態との併用可否を検証する。</w:t>
      </w:r>
    </w:p>
    <w:p>
      <w:pPr>
        <w:pStyle w:val="ListNumber"/>
        <w:spacing w:after="20"/>
      </w:pPr>
      <w:r>
        <w:rPr>
          <w:rFonts w:ascii="Noto Sans CJK JP" w:hAnsi="Noto Sans CJK JP" w:eastAsia="Noto Sans CJK JP"/>
          <w:sz w:val="17"/>
        </w:rPr>
        <w:t>機械依存パラメータを参照し、軸番号・単位・方向・速度を内部単位へ変換する。</w:t>
      </w:r>
    </w:p>
    <w:p>
      <w:pPr>
        <w:pStyle w:val="ListNumber"/>
        <w:spacing w:after="20"/>
      </w:pPr>
      <w:r>
        <w:rPr>
          <w:rFonts w:ascii="Noto Sans CJK JP" w:hAnsi="Noto Sans CJK JP" w:eastAsia="Noto Sans CJK JP"/>
          <w:sz w:val="17"/>
        </w:rPr>
        <w:t>RT_CONTROLが直接実行できる固定長実行データへ展開する。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運転中変更不可の値は、RUNNING中に要求された場合BUSYまたはALARMとして扱う。</w:t>
      </w:r>
    </w:p>
    <w:p>
      <w:pPr>
        <w:pStyle w:val="Heading1"/>
      </w:pPr>
      <w:r>
        <w:rPr>
          <w:rFonts w:ascii="Noto Sans CJK JP" w:hAnsi="Noto Sans CJK JP" w:eastAsia="Noto Sans CJK JP"/>
        </w:rPr>
        <w:t>DD-10 状態遷移・シーケンス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1417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状態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概要</w:t>
            </w:r>
          </w:p>
        </w:tc>
        <w:tc>
          <w:tcPr>
            <w:tcW w:type="dxa" w:w="226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入口条件</w:t>
            </w:r>
          </w:p>
        </w:tc>
        <w:tc>
          <w:tcPr>
            <w:tcW w:type="dxa" w:w="226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出口条件</w:t>
            </w:r>
          </w:p>
        </w:tc>
      </w:tr>
      <w:tr>
        <w:tc>
          <w:tcPr>
            <w:tcW w:type="dxa" w:w="1417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DISABLED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機能無効。通常のNC/軸制御を行う。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初期状態または解除要求完了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有効化要求をTSが検証完了</w:t>
            </w:r>
          </w:p>
        </w:tc>
      </w:tr>
      <w:tr>
        <w:tc>
          <w:tcPr>
            <w:tcW w:type="dxa" w:w="1417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ARMED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設定検証済み。次の対象ブロックまたは条件成立を待つ。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パラメータ/モード検証OK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対象ブロック実行開始</w:t>
            </w:r>
          </w:p>
        </w:tc>
      </w:tr>
      <w:tr>
        <w:tc>
          <w:tcPr>
            <w:tcW w:type="dxa" w:w="1417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ACTIVE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機能がRT周期で反映中。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RT_CONTROLが有効世代を取得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対象区間終了、解除要求、異常検出</w:t>
            </w:r>
          </w:p>
        </w:tc>
      </w:tr>
      <w:tr>
        <w:tc>
          <w:tcPr>
            <w:tcW w:type="dxa" w:w="1417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HOLD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一時停止・保留。出力は安全側に固定。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保持要求またはインターロック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再開条件成立または停止要求</w:t>
            </w:r>
          </w:p>
        </w:tc>
      </w:tr>
      <w:tr>
        <w:tc>
          <w:tcPr>
            <w:tcW w:type="dxa" w:w="1417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ALARM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異常検出。安全出力へ遷移し復帰操作を待つ。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パラメータ不正、追従誤差、併用禁止、バッファ欠落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原因除去とリセット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状態遷移はRT_CONTROLが最終確定する。TS_SERVICEは要求と事前計算結果を準備し、APIは状態を直接書き換えない。</w:t>
      </w:r>
    </w:p>
    <w:p>
      <w:pPr>
        <w:pStyle w:val="Heading1"/>
      </w:pPr>
      <w:r>
        <w:rPr>
          <w:rFonts w:ascii="Noto Sans CJK JP" w:hAnsi="Noto Sans CJK JP" w:eastAsia="Noto Sans CJK JP"/>
        </w:rPr>
        <w:t>DD-11 RT_CONTROL詳細処理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現在有効な変換世代を参照し、ブロック実行時の座標値に固定順序で変換を適用する。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850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順序</w:t>
            </w:r>
          </w:p>
        </w:tc>
        <w:tc>
          <w:tcPr>
            <w:tcW w:type="dxa" w:w="3969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処理</w:t>
            </w:r>
          </w:p>
        </w:tc>
        <w:tc>
          <w:tcPr>
            <w:tcW w:type="dxa" w:w="4252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周期内制約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1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入力/現在位置/主軸位相/外部信号を取得</w:t>
            </w:r>
          </w:p>
        </w:tc>
        <w:tc>
          <w:tcPr>
            <w:tcW w:type="dxa" w:w="425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既存g_ioInおよびg_machineCtxから固定長読取り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2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有効世代・状態を確認</w:t>
            </w:r>
          </w:p>
        </w:tc>
        <w:tc>
          <w:tcPr>
            <w:tcW w:type="dxa" w:w="425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不完全世代は前回有効値を維持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3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対象機能の周期処理を実行</w:t>
            </w:r>
          </w:p>
        </w:tc>
        <w:tc>
          <w:tcPr>
            <w:tcW w:type="dxa" w:w="425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ループ回数上限を固定し、動的確保禁止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4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軸指令・出力信号を更新</w:t>
            </w:r>
          </w:p>
        </w:tc>
        <w:tc>
          <w:tcPr>
            <w:tcW w:type="dxa" w:w="425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フェイルセーフ優先でg_ioOutへ反映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5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状態/ログイベントを登録</w:t>
            </w:r>
          </w:p>
        </w:tc>
        <w:tc>
          <w:tcPr>
            <w:tcW w:type="dxa" w:w="425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ログは固定長キューへ投入しTSがフラッシュ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DD-12 TS_SERVICE詳細処理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オフセット値の入力、行列生成、併用禁止モード判定、変更要求の確定処理を行う。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処理</w:t>
            </w:r>
          </w:p>
        </w:tc>
        <w:tc>
          <w:tcPr>
            <w:tcW w:type="dxa" w:w="5102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  <w:tc>
          <w:tcPr>
            <w:tcW w:type="dxa" w:w="226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失敗時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解析</w:t>
            </w:r>
          </w:p>
        </w:tc>
        <w:tc>
          <w:tcPr>
            <w:tcW w:type="dxa" w:w="51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Gコード、パラメータ、PMC設定、画面入力を内部形式へ変換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INVALID_PARAM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事前計算</w:t>
            </w:r>
          </w:p>
        </w:tc>
        <w:tc>
          <w:tcPr>
            <w:tcW w:type="dxa" w:w="51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補間係数、変換行列、パス列、速度制限値等を生成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ALARMまたは要求拒否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反映準備</w:t>
            </w:r>
          </w:p>
        </w:tc>
        <w:tc>
          <w:tcPr>
            <w:tcW w:type="dxa" w:w="51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inactiveバッファへ書込み、チェックサム/世代番号を更新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旧世代維持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ログ</w:t>
            </w:r>
          </w:p>
        </w:tc>
        <w:tc>
          <w:tcPr>
            <w:tcW w:type="dxa" w:w="51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操作、異常、状態遷移、測定値を記録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欠落カウンタ更新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DD-13 アルゴリズム・演算詳細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ワーク座標系、ローカル座標系、取付誤差補正、フィクスチャオフセットを変換行列として管理する。TS側で行列を生成し世代番号付きで公開し、RT側は確定済み世代のみを読み取る。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観点</w:t>
            </w:r>
          </w:p>
        </w:tc>
        <w:tc>
          <w:tcPr>
            <w:tcW w:type="dxa" w:w="7370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詳細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単位変換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入力単位、径/半径、角度/線速度、機械単位をTS側で正規化し、RT側は内部単位のみ扱う。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併用順序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座標系、補正、補間、速度制限、安全監視の順序を固定し、モードテーブルで禁止組合せを検出する。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数値誤差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RT側は固定小数点または事前計算係数を優先し、浮動小数点演算の使用箇所を限定する。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境界条件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開始点/終点一致、半径ゼロ、負ピッチ、軸未確立、回転軸設定不整合等をTS側で検出する。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DD-14 エラー・アラーム設計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1134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コード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エラー内容</w:t>
            </w:r>
          </w:p>
        </w:tc>
        <w:tc>
          <w:tcPr>
            <w:tcW w:type="dxa" w:w="226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検出箇所</w:t>
            </w:r>
          </w:p>
        </w:tc>
        <w:tc>
          <w:tcPr>
            <w:tcW w:type="dxa" w:w="255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処置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E001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シフト量範囲外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TS検証またはRT周期監視で検出</w:t>
            </w:r>
          </w:p>
        </w:tc>
        <w:tc>
          <w:tcPr>
            <w:tcW w:type="dxa" w:w="255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対象機能をALARMへ遷移し安全側出力を適用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E002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座標系未選択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TS検証またはRT周期監視で検出</w:t>
            </w:r>
          </w:p>
        </w:tc>
        <w:tc>
          <w:tcPr>
            <w:tcW w:type="dxa" w:w="255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対象機能をALARMへ遷移し安全側出力を適用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E003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解除直後移動不明確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TS検証またはRT周期監視で検出</w:t>
            </w:r>
          </w:p>
        </w:tc>
        <w:tc>
          <w:tcPr>
            <w:tcW w:type="dxa" w:w="255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対象機能をALARMへ遷移し安全側出力を適用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E004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補正競合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TS検証またはRT周期監視で検出</w:t>
            </w:r>
          </w:p>
        </w:tc>
        <w:tc>
          <w:tcPr>
            <w:tcW w:type="dxa" w:w="255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対象機能をALARMへ遷移し安全側出力を適用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E005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運転中危険変更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TS検証またはRT周期監視で検出</w:t>
            </w:r>
          </w:p>
        </w:tc>
        <w:tc>
          <w:tcPr>
            <w:tcW w:type="dxa" w:w="255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対象機能をALARMへ遷移し安全側出力を適用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エラーは復帰可能/要リセット/保守要の3段階に分類し、UI表示とログ出力を行う。</w:t>
      </w:r>
    </w:p>
    <w:p>
      <w:pPr>
        <w:pStyle w:val="Heading1"/>
      </w:pPr>
      <w:r>
        <w:rPr>
          <w:rFonts w:ascii="Noto Sans CJK JP" w:hAnsi="Noto Sans CJK JP" w:eastAsia="Noto Sans CJK JP"/>
        </w:rPr>
        <w:t>DD-15 安全設計・フェイルセーフ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異常検出時はRT_CONTROLが新規軸指令を抑止し、既存のフェイルセーフ出力に従う。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運転中に変更できないパラメータはTS_SERVICEが拒否し、変更要求を保留またはアラーム化する。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外部APIからの要求は直接RT制御値を変更せず、要求キューと世代番号で反映タイミングを制御する。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未確定座標、原点未確立、サーボ未励磁、補正未解除などの前提不成立時は対象ブロックを実行しない。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既存インターロックおよび主状態ALARMを優先し、本機能の継続可否よりも機械保護を優先する。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DD-16 排他・整合性・競合制御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対象</w:t>
            </w:r>
          </w:p>
        </w:tc>
        <w:tc>
          <w:tcPr>
            <w:tcW w:type="dxa" w:w="2835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方式</w:t>
            </w:r>
          </w:p>
        </w:tc>
        <w:tc>
          <w:tcPr>
            <w:tcW w:type="dxa" w:w="4535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理由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要求データ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request_id + generation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API/TS/RT間で古い要求の再実行を防止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設定データ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二重バッファ + active_index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RT周期中に不完全設定を読まない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状態データ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RT書込優先 + TS補足情報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制御状態の唯一の確定元をRTに集約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ログ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固定長リング + 欠落カウンタ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RT側でブロックせず証跡を残す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共有メモリの複数フィールド更新では、先にデータ本体を更新し、最後に世代番号を更新する。読取側は同じ世代番号を二度確認して採用する。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DD-17 性能・リアルタイム制約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RT処理は1割込周期内に完了する固定長処理とし、最悪時間は実機またはHILで測定する。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TS側の幾何計算・パス展開は先読みバッファに投入し、RT側での突発的な計算量増大を防ぐ。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共有メモリ更新は世代番号方式と二重バッファ方式を使い、RT周期中の不完全読取りを防止する。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項目</w:t>
            </w:r>
          </w:p>
        </w:tc>
        <w:tc>
          <w:tcPr>
            <w:tcW w:type="dxa" w:w="2835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目標/制約</w:t>
            </w:r>
          </w:p>
        </w:tc>
        <w:tc>
          <w:tcPr>
            <w:tcW w:type="dxa" w:w="4535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測定方法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RT周期処理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1割込周期内に完了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HIL/実機で最大・平均・99.9%を測定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TS事前計算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RTバッファ枯渇前に完了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先読み残量と処理時間をログ化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API応答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要求登録は短時間で戻る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UI/API単体テストで測定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ログ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RTをブロックしない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リング欠落カウンタを確認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DD-18 設定・パラメータ設計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226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パラメータ</w:t>
            </w:r>
          </w:p>
        </w:tc>
        <w:tc>
          <w:tcPr>
            <w:tcW w:type="dxa" w:w="3402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変更可否</w:t>
            </w:r>
          </w:p>
        </w:tc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初期値/備考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enable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機能の有効/無効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停止中のみ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既定は無効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target_axis_mask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対象軸ビットマスク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停止中のみ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設備仕様で確定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limit/profile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速度・角度・補正・範囲等の機能別設定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停止中または保守モード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入力資料の範囲に従う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diagnostic_level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ログ詳細度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運転中可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通常は標準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実機パラメータ番号、PMC信号番号、軸番号は機種別差分があるため、詳細実装時に設備プロファイルで確定する。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DD-19 ログ・診断・保守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ログ種別</w:t>
            </w:r>
          </w:p>
        </w:tc>
        <w:tc>
          <w:tcPr>
            <w:tcW w:type="dxa" w:w="4535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  <w:tc>
          <w:tcPr>
            <w:tcW w:type="dxa" w:w="2835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出力契機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操作ログ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有効化/解除/設定変更要求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APIまたは画面操作時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状態ログ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ARMED/ACTIVE/HOLD/ALARM遷移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状態遷移時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異常ログ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エラーコード、ブロック番号、軸、世代番号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異常検出時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性能ログ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RT処理時間、TS計算時間、バッファ残量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診断レベル有効時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DD-20 画面・外部連携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UI/外部アプリは公開API経由で状態を取得する。RT内部構造体へ直接アクセスしない。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画面/連携項目</w:t>
            </w:r>
          </w:p>
        </w:tc>
        <w:tc>
          <w:tcPr>
            <w:tcW w:type="dxa" w:w="6803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表示・操作内容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状態表示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DISABLED/ARMED/ACTIVE/HOLD/ALARM、対象軸、処理中ブロック番号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設定表示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対象軸、パラメータ値、有効世代、変更可否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診断表示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直近アラーム、RT時間、TS時間、ログ欠落数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保守操作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停止中の設定変更、リセット、診断ログ出力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DD-21 既存ソース影響調査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835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ファイル</w:t>
            </w:r>
          </w:p>
        </w:tc>
        <w:tc>
          <w:tcPr>
            <w:tcW w:type="dxa" w:w="6236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変更内容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include/system_config.h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機能有効化マクロ、上限数、バッファサイズ、周期上限usecを追加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include/system_shared.h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要求・状態・パラメータ・実行ブロック用構造体を追加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include/control_api.h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要求登録/状態取得APIプロトタイプを追加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src/control_api.c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API入力検証、要求ID採番、スナップショット取得を実装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src/rt_control.c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周期処理、状態遷移、安全停止、出力抑止を追加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src/ts_service.c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NC解析、パラメータ検証、ログ、事前計算を追加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DD-22 ビルド・静的解析・テスト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対象</w:t>
            </w:r>
          </w:p>
        </w:tc>
        <w:tc>
          <w:tcPr>
            <w:tcW w:type="dxa" w:w="6803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コマンド/観点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VC2026 build/test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cmd /c scripts\build_vc2026.bat &amp;&amp; cmd /c scripts\test_vc2026.bat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clang Windows build/test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cmd /c scripts\build_clang.bat &amp;&amp; cmd /c scripts\test_clang.bat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静的解析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RT関数内のmalloc/free, file I/O, Win32 blocking API, 可変長ループを検出する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単体テスト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解析、境界値、状態遷移、異常、安全側出力、世代番号不整合を確認する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結合テスト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NC実行、API要求、TS事前計算、RT周期処理、ログ連携を確認する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DD-23 未決事項・リスク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実機ごとの軸数、対象軸、パラメータ番号、PMC信号割付けを確定する。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RT周期内処理時間の上限値と測定方法を詳細設計レビューで確定する。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既存NC解析器の未対応Gコード/アドレスと併用禁止機能の優先順位を確定する。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DD-24 AIプレレビュー結果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ID</w:t>
            </w:r>
          </w:p>
        </w:tc>
        <w:tc>
          <w:tcPr>
            <w:tcW w:type="dxa" w:w="1134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判定</w:t>
            </w:r>
          </w:p>
        </w:tc>
        <w:tc>
          <w:tcPr>
            <w:tcW w:type="dxa" w:w="6236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コメント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DDR-RT-001</w:t>
            </w:r>
          </w:p>
        </w:tc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WARN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RT処理時間の実測値は実装後に確定する。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DDR-SHM-002</w:t>
            </w:r>
          </w:p>
        </w:tc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OK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共有メモリは所有者、書込元、読取元、世代番号方式を定義した。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DDR-SAFE-003</w:t>
            </w:r>
          </w:p>
        </w:tc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OK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異常時の安全側遷移と出力抑止を定義した。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DDR-API-004</w:t>
            </w:r>
          </w:p>
        </w:tc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OK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APIは要求登録/状態取得に限定しRT直接更新を避けた。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DDR-BLD-005</w:t>
            </w:r>
          </w:p>
        </w:tc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WARN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VC2026/clangの実装対象ファイル追加後にCIコマンド確認が必要。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総合判定: 条件付き合格。RT処理時間、設備依存パラメータ、CI対象ファイルは実装時に確定する。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07" w:right="907" w:bottom="850" w:left="907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JP" w:hAnsi="Noto Sans CJK JP" w:eastAsia="Noto Sans CJK JP"/>
        <w:sz w:val="16"/>
      </w:rPr>
      <w:t>Confidential / IBM-Bob Project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JP" w:hAnsi="Noto Sans CJK JP" w:eastAsia="Noto Sans CJK JP"/>
        <w:sz w:val="16"/>
      </w:rPr>
      <w:t>IBM-Bob 詳細設計書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2" w:lineRule="auto"/>
    </w:pPr>
    <w:rPr>
      <w:rFonts w:ascii="Noto Sans CJK JP" w:hAnsi="Noto Sans CJK JP" w:eastAsia="Noto Sans CJK JP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40"/>
      <w:outlineLvl w:val="0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1F4E79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80" w:after="40"/>
      <w:outlineLvl w:val="1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2F5597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80" w:after="40"/>
      <w:outlineLvl w:val="2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0404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40" w:line="240" w:lineRule="auto" w:before="80"/>
      <w:contextualSpacing/>
    </w:pPr>
    <w:rPr>
      <w:rFonts w:asciiTheme="majorHAnsi" w:eastAsiaTheme="majorEastAsia" w:hAnsiTheme="majorHAnsi" w:cstheme="majorBidi" w:ascii="Noto Sans CJK JP" w:hAnsi="Noto Sans CJK JP" w:eastAsia="Noto Sans CJK JP"/>
      <w:b/>
      <w:color w:val="1F4E79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ローカル座標系機能 詳細設計書</dc:title>
  <dc:subject>IBM-Bob detailed design</dc:subject>
  <dc:creator>IBM-Bob</dc:creator>
  <cp:keywords>IBM-Bob, 詳細設計書, RT, TS, API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