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極座標補間機能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DD-CNC-216</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極座標補間機能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補間</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極座標補間機能_基本設計書.docx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設計_極座標補間機能.docx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直交座標で記述したカム形状などの輪郭を、直線軸と回転軸の同期動作へ変換し、円筒部品の加工を容易にする。</w:t>
      </w:r>
    </w:p>
    <w:p>
      <w:pPr>
        <w:spacing w:after="40" w:line="252" w:lineRule="auto"/>
      </w:pPr>
      <w:r>
        <w:rPr>
          <w:rFonts w:ascii="Noto Sans CJK JP" w:hAnsi="Noto Sans CJK JP" w:eastAsia="Noto Sans CJK JP"/>
          <w:sz w:val="17"/>
        </w:rPr>
        <w:t>G12.1で極座標補間モードを開始し、G13.1で解除する。TS_SERVICEが極座標補間平面と対象軸を決定し、直交座標指令を直線軸/回転軸同期指令へ変換する。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直交座標指令が直線/回転同期指令へ変換される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禁止指令をモード中に検出する</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G13.1で平面状態が復元される</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G12.1: 極座標補間モード開始</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G13.1: 極座標補間モード解除</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G01/G02/G03: 極座標平面内補間</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G40〜G42: 工具径補正との関連管理</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include/cnc216_feature.h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src/cnc216_feature.c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TS_SERVICEループからTs_CNC216_Prepareを呼び出し、準備済み実行バッファをコミットする。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RT_CONTROL周期からRt_CNC216_ExecuteCycleを呼び出し、固定長データを消費する。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tests/test_cnc216_feature.c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IBM_BOB_ENABLE_CNC216、バッファ長、最大対象軸数、RT計測有効化マクロを追加する。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CNC216_FEATURE_REQUEST / CNC216_FEATURE_STATUS / CNC216_EXEC_BUFFERを追加する。既存構造体のフィールド順序は変更しない。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Api_GetCNC216Status、Api_RequestCNC216ConfigUpdateのプロトタイプを追加する。既存APIは互換維持。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include/cnc216_feature.h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src/cnc216_feature.c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tests/test_cnc216_feature.c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CNC216_FEATURE_CONFIG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CNC216_FEATURE_REQUEST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CNC216_FEATURE_STATUS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CNC216_EXEC_BLOCK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CNC216_EXEC_BUFFER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CNC216_FEATURE_STATUS;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CNC216_EXEC_BLOCK;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Api_GetCNC216Status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Api_RequestCNC216ConfigUpdate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Ts_CNC216_Prepare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Ts_CNC216_CommitExecBuffer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CNC216_EXEC_BUFFER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Rt_CNC216_ValidateSnapshot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Rt_CNC216_ExecuteCycle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極座標補間対象軸設定</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直交座標指令</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回転軸中心</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送り速度F</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工具径補正状態</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直線軸/回転軸同期指令</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極座標補間状態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中心シフト情報</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補間アラーム</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座標・単位・指令方式の正規化はTS_SERVICEで完了し、RT_CONTROLには内部標準単位の絶対目標値だけを渡す。</w:t>
      </w:r>
    </w:p>
    <w:p>
      <w:pPr>
        <w:pStyle w:val="ListBullet"/>
        <w:spacing w:after="0"/>
      </w:pPr>
      <w:r>
        <w:rPr>
          <w:rFonts w:ascii="Noto Sans CJK JP" w:hAnsi="Noto Sans CJK JP" w:eastAsia="Noto Sans CJK JP"/>
          <w:sz w:val="17"/>
        </w:rPr>
        <w:t>座標変換モード中の禁止Gコード、補正、レファレンス点復帰、単位切換との競合を実行前に判定する。</w:t>
      </w:r>
    </w:p>
    <w:p>
      <w:pPr>
        <w:pStyle w:val="ListBullet"/>
        <w:spacing w:after="0"/>
      </w:pPr>
      <w:r>
        <w:rPr>
          <w:rFonts w:ascii="Noto Sans CJK JP" w:hAnsi="Noto Sans CJK JP" w:eastAsia="Noto Sans CJK JP"/>
          <w:sz w:val="17"/>
        </w:rPr>
        <w:t>幾何計算、分割点生成、同時制御軸の補間テーブル化はTS_SERVICEで実施する。</w:t>
      </w:r>
    </w:p>
    <w:p>
      <w:pPr>
        <w:pStyle w:val="ListBullet"/>
        <w:spacing w:after="0"/>
      </w:pPr>
      <w:r>
        <w:rPr>
          <w:rFonts w:ascii="Noto Sans CJK JP" w:hAnsi="Noto Sans CJK JP" w:eastAsia="Noto Sans CJK JP"/>
          <w:sz w:val="17"/>
        </w:rPr>
        <w:t>RT_CONTROLは補間セグメントを固定長ブロックとして消費し、幾何再計算は行わない。</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TS_SERVICEがG12.1を単独ブロックで受理し、パラメータ指定の直線軸・回転軸を選択する。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後続の直交座標指令を極座標関係式により直線軸移動量と回転軸角度へ変換する。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工具径補正が必要な場合は補正後の通路に対して変換し、RT実行ブロックへ格納する。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G13.1でモードを解除し、元の平面選択状態を復帰する。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Rt_CNC216_ExecuteCycle(RT_CONTEXT* rt) {</w:t>
      </w:r>
    </w:p>
    <w:p>
      <w:pPr>
        <w:pStyle w:val="CodeText"/>
        <w:spacing w:after="0"/>
      </w:pPr>
      <w:r>
        <w:rPr>
          <w:rFonts w:ascii="Noto Sans CJK JP" w:hAnsi="Noto Sans CJK JP" w:eastAsia="Noto Sans CJK JP"/>
          <w:sz w:val="14"/>
        </w:rPr>
        <w:t xml:space="preserve">    const CNC216_EXEC_BUFFER* buf = &amp;g_cnc216Feature.exec_buffer;</w:t>
      </w:r>
    </w:p>
    <w:p>
      <w:pPr>
        <w:pStyle w:val="CodeText"/>
        <w:spacing w:after="0"/>
      </w:pPr>
      <w:r>
        <w:rPr>
          <w:rFonts w:ascii="Noto Sans CJK JP" w:hAnsi="Noto Sans CJK JP" w:eastAsia="Noto Sans CJK JP"/>
          <w:sz w:val="14"/>
        </w:rPr>
        <w:t xml:space="preserve">    if (!Rt_CNC216_ValidateSnapshot(buf)) {</w:t>
      </w:r>
    </w:p>
    <w:p>
      <w:pPr>
        <w:pStyle w:val="CodeText"/>
        <w:spacing w:after="0"/>
      </w:pPr>
      <w:r>
        <w:rPr>
          <w:rFonts w:ascii="Noto Sans CJK JP" w:hAnsi="Noto Sans CJK JP" w:eastAsia="Noto Sans CJK JP"/>
          <w:sz w:val="14"/>
        </w:rPr>
        <w:t xml:space="preserve">        Rt_SetFeatureAlarm(CNC216_ALM_BUFFER_INVALID);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(g_cnc216Feature.status.state == CNC216_STATE_ACTIVE) {</w:t>
      </w:r>
    </w:p>
    <w:p>
      <w:pPr>
        <w:pStyle w:val="CodeText"/>
        <w:spacing w:after="0"/>
      </w:pPr>
      <w:r>
        <w:rPr>
          <w:rFonts w:ascii="Noto Sans CJK JP" w:hAnsi="Noto Sans CJK JP" w:eastAsia="Noto Sans CJK JP"/>
          <w:sz w:val="14"/>
        </w:rPr>
        <w:t xml:space="preserve">        const CNC216_EXEC_BLOCK*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CNC216_FEATURE_REQUEST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CNC216_FEATURE_CONFIG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CNC216_EXEC_BUFFER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CNC216_EXEC_BLOCK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CNC216_FEATURE_STATUS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CNC216_ENABLE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CNC216_MAX_BUFFER_BLOCKS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CNC216_UNDERRUN_POLICY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CNC216_ALARM_LEVEL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CNC216_RT_BUDGET_USEC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CNC216-ALM-001</w:t>
            </w:r>
          </w:p>
        </w:tc>
        <w:tc>
          <w:tcPr>
            <w:tcW w:type="dxa" w:w="2835"/>
            <w:vAlign w:val="top"/>
          </w:tcPr>
          <w:p>
            <w:pPr>
              <w:spacing w:after="0" w:line="240" w:lineRule="auto"/>
            </w:pPr>
            <w:r/>
            <w:r>
              <w:rPr>
                <w:rFonts w:ascii="Noto Sans CJK JP" w:hAnsi="Noto Sans CJK JP" w:eastAsia="Noto Sans CJK JP"/>
                <w:b w:val="0"/>
                <w:sz w:val="15"/>
              </w:rPr>
              <w:t>対象軸未設定</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CNC216-ALM-002</w:t>
            </w:r>
          </w:p>
        </w:tc>
        <w:tc>
          <w:tcPr>
            <w:tcW w:type="dxa" w:w="2835"/>
            <w:vAlign w:val="top"/>
          </w:tcPr>
          <w:p>
            <w:pPr>
              <w:spacing w:after="0" w:line="240" w:lineRule="auto"/>
            </w:pPr>
            <w:r/>
            <w:r>
              <w:rPr>
                <w:rFonts w:ascii="Noto Sans CJK JP" w:hAnsi="Noto Sans CJK JP" w:eastAsia="Noto Sans CJK JP"/>
                <w:b w:val="0"/>
                <w:sz w:val="15"/>
              </w:rPr>
              <w:t>補正状態不正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CNC216-ALM-003</w:t>
            </w:r>
          </w:p>
        </w:tc>
        <w:tc>
          <w:tcPr>
            <w:tcW w:type="dxa" w:w="2835"/>
            <w:vAlign w:val="top"/>
          </w:tcPr>
          <w:p>
            <w:pPr>
              <w:spacing w:after="0" w:line="240" w:lineRule="auto"/>
            </w:pPr>
            <w:r/>
            <w:r>
              <w:rPr>
                <w:rFonts w:ascii="Noto Sans CJK JP" w:hAnsi="Noto Sans CJK JP" w:eastAsia="Noto Sans CJK JP"/>
                <w:b w:val="0"/>
                <w:sz w:val="15"/>
              </w:rPr>
              <w:t>座標系変更指令</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CNC216-ALM-004</w:t>
            </w:r>
          </w:p>
        </w:tc>
        <w:tc>
          <w:tcPr>
            <w:tcW w:type="dxa" w:w="2835"/>
            <w:vAlign w:val="top"/>
          </w:tcPr>
          <w:p>
            <w:pPr>
              <w:spacing w:after="0" w:line="240" w:lineRule="auto"/>
            </w:pPr>
            <w:r/>
            <w:r>
              <w:rPr>
                <w:rFonts w:ascii="Noto Sans CJK JP" w:hAnsi="Noto Sans CJK JP" w:eastAsia="Noto Sans CJK JP"/>
                <w:b w:val="0"/>
                <w:sz w:val="15"/>
              </w:rPr>
              <w:t>変換後速度超過</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CNC216-ALM-005</w:t>
            </w:r>
          </w:p>
        </w:tc>
        <w:tc>
          <w:tcPr>
            <w:tcW w:type="dxa" w:w="2835"/>
            <w:vAlign w:val="top"/>
          </w:tcPr>
          <w:p>
            <w:pPr>
              <w:spacing w:after="0" w:line="240" w:lineRule="auto"/>
            </w:pPr>
            <w:r/>
            <w:r>
              <w:rPr>
                <w:rFonts w:ascii="Noto Sans CJK JP" w:hAnsi="Noto Sans CJK JP" w:eastAsia="Noto Sans CJK JP"/>
                <w:b w:val="0"/>
                <w:sz w:val="15"/>
              </w:rPr>
              <w:t>中心シフト設定不正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CNC216_FEATURE_REQUEST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CNC216_FEATURE_CONFIG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CNC216_EXEC_BUFFER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CNC216_FEATURE_STATUS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CNC216-LOG-START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CNC216-LOG-COMMIT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CNC216-LOG-RTMAX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CNC216-LOG-ALARM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CNC216-LOG-END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UT-CNC216-001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UT-CNC216-002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UT-CNC216-003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UT-CNC216-004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UT-CNC216-005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FT-CNC216-001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FT-CNC216-002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FT-CNC216-003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FT-CNC216-004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FT-CNC216-005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TBD-CNC216-001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TBD-CNC216-002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TBD-CNC216-003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TBD-CNC216-004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極座標補間機能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