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機械座標系機能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DD-CNC-218</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機械座標系機能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座標系</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機械座標系機能_基本設計書.docx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設計_機械座標系機能.docx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機械原点を基準とした絶対位置へ一時的に移動し、工具交換、メンテナンス、基準点合わせなどを安全に実行する。</w:t>
      </w:r>
    </w:p>
    <w:p>
      <w:pPr>
        <w:spacing w:after="40" w:line="252" w:lineRule="auto"/>
      </w:pPr>
      <w:r>
        <w:rPr>
          <w:rFonts w:ascii="Noto Sans CJK JP" w:hAnsi="Noto Sans CJK JP" w:eastAsia="Noto Sans CJK JP"/>
          <w:sz w:val="17"/>
        </w:rPr>
        <w:t>G53をワンショット指令として扱い、指定ブロックのみ機械座標系で移動する。レファレンス点復帰済みであること、補正や座標変換が解除されていることをTS_SERVICEが確認する。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G53ブロックのみ機械座標系で移動する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次ブロックで元のワーク座標系に戻る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未原点復帰状態では実行されない</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G53: 機械座標系での一時移動</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G28等: レファレンス点復帰状態との関係</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G50/G51/G68等: 併用禁止対象</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include/cnc218_feature.h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src/cnc218_feature.c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TS_SERVICEループからTs_CNC218_Prepareを呼び出し、準備済み実行バッファをコミットする。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RT_CONTROL周期からRt_CNC218_ExecuteCycleを呼び出し、固定長データを消費する。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tests/test_cnc218_feature.c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IBM_BOB_ENABLE_CNC218、バッファ長、最大対象軸数、RT計測有効化マクロを追加する。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CNC218_FEATURE_REQUEST / CNC218_FEATURE_STATUS / CNC218_EXEC_BUFFERを追加する。既存構造体のフィールド順序は変更しない。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Api_GetCNC218Status、Api_RequestCNC218ConfigUpdateのプロトタイプを追加する。既存APIは互換維持。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include/cnc218_feature.h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src/cnc218_feature.c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tests/test_cnc218_feature.c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CNC218_FEATURE_CONFIG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CNC218_FEATURE_REQUEST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CNC218_FEATURE_STATUS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CNC218_EXEC_BLOCK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CNC218_EXEC_BUFFER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CNC218_FEATURE_STATUS;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CNC218_EXEC_BLOCK;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Api_GetCNC218Status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Api_RequestCNC218ConfigUpdate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Ts_CNC218_Prepare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Ts_CNC218_CommitExecBuffer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CNC218_EXEC_BUFFER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Rt_CNC218_ValidateSnapshot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Rt_CNC218_ExecuteCycle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G53指令</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機械座標の絶対値</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レファレンス点復帰完了状態</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補正/座標変換状態</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軸リミット</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機械座標移動ブロック</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一時座標系選択状態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元ワーク座標系復帰状態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安全確認アラーム</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座標・単位・指令方式の正規化はTS_SERVICEで完了し、RT_CONTROLには内部標準単位の絶対目標値だけを渡す。</w:t>
      </w:r>
    </w:p>
    <w:p>
      <w:pPr>
        <w:pStyle w:val="ListBullet"/>
        <w:spacing w:after="0"/>
      </w:pPr>
      <w:r>
        <w:rPr>
          <w:rFonts w:ascii="Noto Sans CJK JP" w:hAnsi="Noto Sans CJK JP" w:eastAsia="Noto Sans CJK JP"/>
          <w:sz w:val="17"/>
        </w:rPr>
        <w:t>座標変換モード中の禁止Gコード、補正、レファレンス点復帰、単位切換との競合を実行前に判定する。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TS_SERVICEがG53を検出し、アブソリュート指令であることとレファレンス点復帰済みであることを確認する。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補正、スケーリング、ミラー、座標回転などの併用禁止状態をチェックする。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移動先が機械リミット内であることを確認し、RT_CONTROL用の機械座標移動ブロックを生成する。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RT_CONTROLは指定ブロックを実行し、完了後は元のワーク座標系状態に戻る。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Rt_CNC218_ExecuteCycle(RT_CONTEXT* rt) {</w:t>
      </w:r>
    </w:p>
    <w:p>
      <w:pPr>
        <w:pStyle w:val="CodeText"/>
        <w:spacing w:after="0"/>
      </w:pPr>
      <w:r>
        <w:rPr>
          <w:rFonts w:ascii="Noto Sans CJK JP" w:hAnsi="Noto Sans CJK JP" w:eastAsia="Noto Sans CJK JP"/>
          <w:sz w:val="14"/>
        </w:rPr>
        <w:t xml:space="preserve">    const CNC218_EXEC_BUFFER* buf = &amp;g_cnc218Feature.exec_buffer;</w:t>
      </w:r>
    </w:p>
    <w:p>
      <w:pPr>
        <w:pStyle w:val="CodeText"/>
        <w:spacing w:after="0"/>
      </w:pPr>
      <w:r>
        <w:rPr>
          <w:rFonts w:ascii="Noto Sans CJK JP" w:hAnsi="Noto Sans CJK JP" w:eastAsia="Noto Sans CJK JP"/>
          <w:sz w:val="14"/>
        </w:rPr>
        <w:t xml:space="preserve">    if (!Rt_CNC218_ValidateSnapshot(buf)) {</w:t>
      </w:r>
    </w:p>
    <w:p>
      <w:pPr>
        <w:pStyle w:val="CodeText"/>
        <w:spacing w:after="0"/>
      </w:pPr>
      <w:r>
        <w:rPr>
          <w:rFonts w:ascii="Noto Sans CJK JP" w:hAnsi="Noto Sans CJK JP" w:eastAsia="Noto Sans CJK JP"/>
          <w:sz w:val="14"/>
        </w:rPr>
        <w:t xml:space="preserve">        Rt_SetFeatureAlarm(CNC218_ALM_BUFFER_INVALID);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(g_cnc218Feature.status.state == CNC218_STATE_ACTIVE) {</w:t>
      </w:r>
    </w:p>
    <w:p>
      <w:pPr>
        <w:pStyle w:val="CodeText"/>
        <w:spacing w:after="0"/>
      </w:pPr>
      <w:r>
        <w:rPr>
          <w:rFonts w:ascii="Noto Sans CJK JP" w:hAnsi="Noto Sans CJK JP" w:eastAsia="Noto Sans CJK JP"/>
          <w:sz w:val="14"/>
        </w:rPr>
        <w:t xml:space="preserve">        const CNC218_EXEC_BLOCK*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CNC218_FEATURE_REQUEST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CNC218_FEATURE_CONFIG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CNC218_EXEC_BUFFER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CNC218_EXEC_BLOCK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CNC218_FEATURE_STATUS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CNC218_ENABLE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CNC218_MAX_BUFFER_BLOCKS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CNC218_UNDERRUN_POLICY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CNC218_ALARM_LEVEL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CNC218_RT_BUDGET_USEC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CNC218-ALM-001</w:t>
            </w:r>
          </w:p>
        </w:tc>
        <w:tc>
          <w:tcPr>
            <w:tcW w:type="dxa" w:w="2835"/>
            <w:vAlign w:val="top"/>
          </w:tcPr>
          <w:p>
            <w:pPr>
              <w:spacing w:after="0" w:line="240" w:lineRule="auto"/>
            </w:pPr>
            <w:r/>
            <w:r>
              <w:rPr>
                <w:rFonts w:ascii="Noto Sans CJK JP" w:hAnsi="Noto Sans CJK JP" w:eastAsia="Noto Sans CJK JP"/>
                <w:b w:val="0"/>
                <w:sz w:val="15"/>
              </w:rPr>
              <w:t>未原点復帰</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CNC218-ALM-002</w:t>
            </w:r>
          </w:p>
        </w:tc>
        <w:tc>
          <w:tcPr>
            <w:tcW w:type="dxa" w:w="2835"/>
            <w:vAlign w:val="top"/>
          </w:tcPr>
          <w:p>
            <w:pPr>
              <w:spacing w:after="0" w:line="240" w:lineRule="auto"/>
            </w:pPr>
            <w:r/>
            <w:r>
              <w:rPr>
                <w:rFonts w:ascii="Noto Sans CJK JP" w:hAnsi="Noto Sans CJK JP" w:eastAsia="Noto Sans CJK JP"/>
                <w:b w:val="0"/>
                <w:sz w:val="15"/>
              </w:rPr>
              <w:t>インクレメンタルG53</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CNC218-ALM-003</w:t>
            </w:r>
          </w:p>
        </w:tc>
        <w:tc>
          <w:tcPr>
            <w:tcW w:type="dxa" w:w="2835"/>
            <w:vAlign w:val="top"/>
          </w:tcPr>
          <w:p>
            <w:pPr>
              <w:spacing w:after="0" w:line="240" w:lineRule="auto"/>
            </w:pPr>
            <w:r/>
            <w:r>
              <w:rPr>
                <w:rFonts w:ascii="Noto Sans CJK JP" w:hAnsi="Noto Sans CJK JP" w:eastAsia="Noto Sans CJK JP"/>
                <w:b w:val="0"/>
                <w:sz w:val="15"/>
              </w:rPr>
              <w:t>補正/座標変換併用</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CNC218-ALM-004</w:t>
            </w:r>
          </w:p>
        </w:tc>
        <w:tc>
          <w:tcPr>
            <w:tcW w:type="dxa" w:w="2835"/>
            <w:vAlign w:val="top"/>
          </w:tcPr>
          <w:p>
            <w:pPr>
              <w:spacing w:after="0" w:line="240" w:lineRule="auto"/>
            </w:pPr>
            <w:r/>
            <w:r>
              <w:rPr>
                <w:rFonts w:ascii="Noto Sans CJK JP" w:hAnsi="Noto Sans CJK JP" w:eastAsia="Noto Sans CJK JP"/>
                <w:b w:val="0"/>
                <w:sz w:val="15"/>
              </w:rPr>
              <w:t>機械リミット超過</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CNC218-ALM-005</w:t>
            </w:r>
          </w:p>
        </w:tc>
        <w:tc>
          <w:tcPr>
            <w:tcW w:type="dxa" w:w="2835"/>
            <w:vAlign w:val="top"/>
          </w:tcPr>
          <w:p>
            <w:pPr>
              <w:spacing w:after="0" w:line="240" w:lineRule="auto"/>
            </w:pPr>
            <w:r/>
            <w:r>
              <w:rPr>
                <w:rFonts w:ascii="Noto Sans CJK JP" w:hAnsi="Noto Sans CJK JP" w:eastAsia="Noto Sans CJK JP"/>
                <w:b w:val="0"/>
                <w:sz w:val="15"/>
              </w:rPr>
              <w:t>安全領域外移動</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CNC218_FEATURE_REQUEST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CNC218_FEATURE_CONFIG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CNC218_EXEC_BUFFER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CNC218_FEATURE_STATUS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CNC218-LOG-START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CNC218-LOG-COMMIT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CNC218-LOG-RTMAX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CNC218-LOG-ALARM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CNC218-LOG-END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UT-CNC218-001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UT-CNC218-002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UT-CNC218-003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UT-CNC218-004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UT-CNC218-005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FT-CNC218-001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FT-CNC218-002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FT-CNC218-003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FT-CNC218-004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FT-CNC218-005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TBD-CNC218-001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TBD-CNC218-002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TBD-CNC218-003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TBD-CNC218-004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機械座標系機能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