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高度プレビュー制御機能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DD-CNC-202</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高度プレビュー制御機能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高速・高精度制御</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高度プレビュー制御機能_基本設計書.docx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設計_高度プレビュー制御機能.docx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多数ブロックを先読みして加減速を最適化し、カム形状、クランクシャフト、非球面加工など連続的な速度変化を必要とする加工で安定した速度制御を実現する。</w:t>
      </w:r>
    </w:p>
    <w:p>
      <w:pPr>
        <w:spacing w:after="40" w:line="252" w:lineRule="auto"/>
      </w:pPr>
      <w:r>
        <w:rPr>
          <w:rFonts w:ascii="Noto Sans CJK JP" w:hAnsi="Noto Sans CJK JP" w:eastAsia="Noto Sans CJK JP"/>
          <w:sz w:val="17"/>
        </w:rPr>
        <w:t>G08 P1/P2でプレビュー制御を開始し、G08 P0で解除する。TS_SERVICEが先読みバッファ内の曲率、コーナ角、送り指令を評価し、RT_CONTROLが消費可能な速度プロファイルへ変換する。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連続短線分で送り速度変動が抑制される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先読み不足時に安全側へ遷移する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G08 P0で通常制御に戻る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G08 P1: 標準プレビュー/スムージング開始</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G08 P2: 高精度プレビュー開始</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G08 P0: プレビュー制御解除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include/cnc202_feature.h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src/cnc202_feature.c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TS_SERVICEループからTs_CNC202_Prepareを呼び出し、準備済み実行バッファをコミットする。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RT_CONTROL周期からRt_CNC202_ExecuteCycleを呼び出し、固定長データを消費する。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tests/test_cnc202_feature.c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IBM_BOB_ENABLE_CNC202、バッファ長、最大対象軸数、RT計測有効化マクロを追加する。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CNC202_FEATURE_REQUEST / CNC202_FEATURE_STATUS / CNC202_EXEC_BUFFERを追加する。既存構造体のフィールド順序は変更しない。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Api_GetCNC202Status、Api_RequestCNC202ConfigUpdateのプロトタイプを追加する。既存APIは互換維持。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include/cnc202_feature.h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src/cnc202_feature.c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tests/test_cnc202_feature.c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CNC202_FEATURE_CONFIG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CNC202_FEATURE_REQUEST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CNC202_FEATURE_STATUS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CNC202_EXEC_BLOCK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CNC202_EXEC_BUFFER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CNC202_FEATURE_STATUS;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CNC202_EXEC_BLOCK;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Api_GetCNC202Status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Api_RequestCNC202ConfigUpdate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Ts_CNC202_Prepare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Ts_CNC202_CommitExecBuffer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CNC202_EXEC_BUFFER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Rt_CNC202_ValidateSnapshot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Rt_CNC202_ExecuteCycle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NCブロック列</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先読みブロック数設定</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許容輪郭誤差</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最大加速度・ジャーク設定</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高精度輪郭制御との併用状態</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速度プロファイル付きNC実行ブロック</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先読み充足率</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プレビュー有効状態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バッファ不足警告</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先読み、速度プロファイル、許容誤差判定、ジャーク/加速度制限計算はTS_SERVICEで行う。</w:t>
      </w:r>
    </w:p>
    <w:p>
      <w:pPr>
        <w:pStyle w:val="ListBullet"/>
        <w:spacing w:after="0"/>
      </w:pPr>
      <w:r>
        <w:rPr>
          <w:rFonts w:ascii="Noto Sans CJK JP" w:hAnsi="Noto Sans CJK JP" w:eastAsia="Noto Sans CJK JP"/>
          <w:sz w:val="17"/>
        </w:rPr>
        <w:t>RT_CONTROLは先読み充足率とプロファイル世代を監視し、アンダーラン時は安全側速度または停止へ遷移する。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TS_SERVICEがG08開始ブロックを検出し、先読みモードを有効化する。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TS_SERVICEが複数ブロックを解析し、コーナ減速量、加減速曲線、許容誤差内の通過速度を算出する。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算出済み速度プロファイルをg_prefetchResult相当の固定長領域へ格納する。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RT_CONTROLはプロファイルを周期ごとに読み出し、補間実行と送り速度制御に反映する。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Rt_CNC202_ExecuteCycle(RT_CONTEXT* rt) {</w:t>
      </w:r>
    </w:p>
    <w:p>
      <w:pPr>
        <w:pStyle w:val="CodeText"/>
        <w:spacing w:after="0"/>
      </w:pPr>
      <w:r>
        <w:rPr>
          <w:rFonts w:ascii="Noto Sans CJK JP" w:hAnsi="Noto Sans CJK JP" w:eastAsia="Noto Sans CJK JP"/>
          <w:sz w:val="14"/>
        </w:rPr>
        <w:t xml:space="preserve">    const CNC202_EXEC_BUFFER* buf = &amp;g_cnc202Feature.exec_buffer;</w:t>
      </w:r>
    </w:p>
    <w:p>
      <w:pPr>
        <w:pStyle w:val="CodeText"/>
        <w:spacing w:after="0"/>
      </w:pPr>
      <w:r>
        <w:rPr>
          <w:rFonts w:ascii="Noto Sans CJK JP" w:hAnsi="Noto Sans CJK JP" w:eastAsia="Noto Sans CJK JP"/>
          <w:sz w:val="14"/>
        </w:rPr>
        <w:t xml:space="preserve">    if (!Rt_CNC202_ValidateSnapshot(buf)) {</w:t>
      </w:r>
    </w:p>
    <w:p>
      <w:pPr>
        <w:pStyle w:val="CodeText"/>
        <w:spacing w:after="0"/>
      </w:pPr>
      <w:r>
        <w:rPr>
          <w:rFonts w:ascii="Noto Sans CJK JP" w:hAnsi="Noto Sans CJK JP" w:eastAsia="Noto Sans CJK JP"/>
          <w:sz w:val="14"/>
        </w:rPr>
        <w:t xml:space="preserve">        Rt_SetFeatureAlarm(CNC202_ALM_BUFFER_INVALID);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(g_cnc202Feature.status.state == CNC202_STATE_ACTIVE) {</w:t>
      </w:r>
    </w:p>
    <w:p>
      <w:pPr>
        <w:pStyle w:val="CodeText"/>
        <w:spacing w:after="0"/>
      </w:pPr>
      <w:r>
        <w:rPr>
          <w:rFonts w:ascii="Noto Sans CJK JP" w:hAnsi="Noto Sans CJK JP" w:eastAsia="Noto Sans CJK JP"/>
          <w:sz w:val="14"/>
        </w:rPr>
        <w:t xml:space="preserve">        const CNC202_EXEC_BLOCK*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CNC202_FEATURE_REQUEST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CNC202_FEATURE_CONFIG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CNC202_EXEC_BUFFER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CNC202_EXEC_BLOCK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CNC202_FEATURE_STATUS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CNC202_ENABLE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CNC202_MAX_BUFFER_BLOCKS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CNC202_UNDERRUN_POLICY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CNC202_ALARM_LEVEL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CNC202_RT_BUDGET_USEC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CNC202-ALM-001</w:t>
            </w:r>
          </w:p>
        </w:tc>
        <w:tc>
          <w:tcPr>
            <w:tcW w:type="dxa" w:w="2835"/>
            <w:vAlign w:val="top"/>
          </w:tcPr>
          <w:p>
            <w:pPr>
              <w:spacing w:after="0" w:line="240" w:lineRule="auto"/>
            </w:pPr>
            <w:r/>
            <w:r>
              <w:rPr>
                <w:rFonts w:ascii="Noto Sans CJK JP" w:hAnsi="Noto Sans CJK JP" w:eastAsia="Noto Sans CJK JP"/>
                <w:b w:val="0"/>
                <w:sz w:val="15"/>
              </w:rPr>
              <w:t>先読みバッファアンダーラン</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CNC202-ALM-002</w:t>
            </w:r>
          </w:p>
        </w:tc>
        <w:tc>
          <w:tcPr>
            <w:tcW w:type="dxa" w:w="2835"/>
            <w:vAlign w:val="top"/>
          </w:tcPr>
          <w:p>
            <w:pPr>
              <w:spacing w:after="0" w:line="240" w:lineRule="auto"/>
            </w:pPr>
            <w:r/>
            <w:r>
              <w:rPr>
                <w:rFonts w:ascii="Noto Sans CJK JP" w:hAnsi="Noto Sans CJK JP" w:eastAsia="Noto Sans CJK JP"/>
                <w:b w:val="0"/>
                <w:sz w:val="15"/>
              </w:rPr>
              <w:t>許容誤差設定不正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CNC202-ALM-003</w:t>
            </w:r>
          </w:p>
        </w:tc>
        <w:tc>
          <w:tcPr>
            <w:tcW w:type="dxa" w:w="2835"/>
            <w:vAlign w:val="top"/>
          </w:tcPr>
          <w:p>
            <w:pPr>
              <w:spacing w:after="0" w:line="240" w:lineRule="auto"/>
            </w:pPr>
            <w:r/>
            <w:r>
              <w:rPr>
                <w:rFonts w:ascii="Noto Sans CJK JP" w:hAnsi="Noto Sans CJK JP" w:eastAsia="Noto Sans CJK JP"/>
                <w:b w:val="0"/>
                <w:sz w:val="15"/>
              </w:rPr>
              <w:t>非対応Gコード混在</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CNC202-ALM-004</w:t>
            </w:r>
          </w:p>
        </w:tc>
        <w:tc>
          <w:tcPr>
            <w:tcW w:type="dxa" w:w="2835"/>
            <w:vAlign w:val="top"/>
          </w:tcPr>
          <w:p>
            <w:pPr>
              <w:spacing w:after="0" w:line="240" w:lineRule="auto"/>
            </w:pPr>
            <w:r/>
            <w:r>
              <w:rPr>
                <w:rFonts w:ascii="Noto Sans CJK JP" w:hAnsi="Noto Sans CJK JP" w:eastAsia="Noto Sans CJK JP"/>
                <w:b w:val="0"/>
                <w:sz w:val="15"/>
              </w:rPr>
              <w:t>モード解除漏れ</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CNC202_FEATURE_REQUEST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CNC202_FEATURE_CONFIG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CNC202_EXEC_BUFFER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CNC202_FEATURE_STATUS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CNC202-LOG-START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CNC202-LOG-COMMIT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CNC202-LOG-RTMAX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CNC202-LOG-ALARM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CNC202-LOG-END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UT-CNC202-001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UT-CNC202-002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UT-CNC202-003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UT-CNC202-004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UT-CNC202-005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FT-CNC202-001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FT-CNC202-002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FT-CNC202-003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FT-CNC202-004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FT-CNC202-005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TBD-CNC202-001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TBD-CNC202-002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TBD-CNC202-003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TBD-CNC202-004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高度プレビュー制御機能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