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対象機能: 座標値・単位機能 基本設計書</w:t>
      </w:r>
    </w:p>
    <w:p>
      <w:r>
        <w:t>文書ID: BD-DRAFT-座標値・単位機能 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座標値・単位機能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BD-CNC-220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座標値・単位機能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NC基本指令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設計_座標値・単位機能.docx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NCプログラムにおけるアブソリュート/インクレメンタル指令、およびメートル/インチ入力を正しく解釈し、内部制御単位へ一貫して正規化する。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G90/G91により絶対/増分指令を、G20/G21によりインチ/メートル入力を選択する。TS_SERVICEが座標値と送り速度を内部単位へ正規化し、RT_CONTROLは正規化済み機械単位のみを扱う。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G90: アブソリュート指令</w:t>
              <w:br/>
              <w:t>G91: インクレメンタル指令</w:t>
              <w:br/>
              <w:t>G20: インチ入力</w:t>
              <w:br/>
              <w:t>G21: メートル入力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座標アドレス値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G90/G91状態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G20/G21状態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体系A/B/C設定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径/半径指定状態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送り速度F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内部単位の絶対目標座標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単位状態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指令方式状態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重複指令/単位切換警告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TS_SERVICEがプログラム冒頭またはブロック中のG20/G21、G90/G91を解析し、モーダル状態を更新する。</w:t>
      </w:r>
    </w:p>
    <w:p>
      <w:pPr>
        <w:pStyle w:val="ListBullet"/>
      </w:pPr>
      <w:r>
        <w:t>座標アドレスを体系A/B/Cおよび径/半径指定に基づいて絶対目標値へ変換する。</w:t>
      </w:r>
    </w:p>
    <w:p>
      <w:pPr>
        <w:pStyle w:val="ListBullet"/>
      </w:pPr>
      <w:r>
        <w:t>インチ/メートル値と送り速度を内部標準単位へ正規化し、RT実行ブロックへ格納する。</w:t>
      </w:r>
    </w:p>
    <w:p>
      <w:pPr>
        <w:pStyle w:val="ListBullet"/>
      </w:pPr>
      <w:r>
        <w:t>同一軸の絶対/増分混在や単位切換時の影響を検出し、必要に応じ警告またはアラームとする。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単位切換タイミング不正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使用不可アドレス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同一軸指令矛盾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内部単位換算オーバーフロー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ALM-05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径/半径指定不整合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G20/G21はプログラム途中での頻繁な切換を避ける</w:t>
      </w:r>
    </w:p>
    <w:p>
      <w:pPr>
        <w:pStyle w:val="ListBullet"/>
      </w:pPr>
      <w:r>
        <w:t>同一軸の重複指令は後勝ち規則を明確化</w:t>
      </w:r>
    </w:p>
    <w:p>
      <w:pPr>
        <w:pStyle w:val="ListBullet"/>
      </w:pPr>
      <w:r>
        <w:t>RT側で単位換算を行わない</w:t>
      </w:r>
    </w:p>
    <w:p>
      <w:pPr>
        <w:pStyle w:val="ListBullet"/>
      </w:pPr>
      <w:r>
        <w:t>径/半径指定機能との整合性を確保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G90/G91が座標解釈に正しく反映される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G20/G21が座標・送り単位に反映される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RT側には内部標準単位のみが渡る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座標値・単位機能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座標値・単位機能 基本設計書 基本設計書</dc:title>
  <dc:subject>座標値・単位機能 基本設計書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