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../基本設計書/高精度振動機能 基本設計書.docx</w:t>
      </w:r>
    </w:p>
    <w:p>
      <w:r>
        <w:t>レビュー状態: draft_for_review</w:t>
      </w:r>
    </w:p>
    <w:p>
      <w:r>
        <w:t>文書ID: DD-DRAFT-高精度振動機能_詳細設計書</w:t>
      </w:r>
    </w:p>
    <w:p>
      <w:pPr>
        <w:jc w:val="center"/>
      </w:pPr>
      <w:r>
        <w:rPr>
          <w:rFonts w:ascii="Noto Sans CJK JP" w:hAnsi="Noto Sans CJK JP" w:eastAsia="Noto Sans CJK JP"/>
          <w:b/>
          <w:sz w:val="36"/>
        </w:rPr>
        <w:t>高精度振動機能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DD-CNC-209</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高精度振動機能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サーボ特殊制御</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高精度振動機能_基本設計書.docx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設計_高精度振動機能.docx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往復運動軸の速度をサイン波状に制御し、上死点・下死点近傍の停止誤差を低減して振動加工の精度と工具寿命を向上させる。</w:t>
      </w:r>
    </w:p>
    <w:p>
      <w:pPr>
        <w:spacing w:after="40" w:line="252" w:lineRule="auto"/>
      </w:pPr>
      <w:r>
        <w:rPr>
          <w:rFonts w:ascii="Noto Sans CJK JP" w:hAnsi="Noto Sans CJK JP" w:eastAsia="Noto Sans CJK JP"/>
          <w:sz w:val="17"/>
        </w:rPr>
        <w:t>オシレーション軸、振幅、周期、位相をパラメータ設定し、TS_SERVICEが振動プロファイルを生成する。RT_CONTROLは固定テーブル化された速度/位置補正を周期的に適用する。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指定振幅/周期で振動補正が行われる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解除時に軸指令不連続が発生しない</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過負荷時に補正を停止し安全側へ遷移する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専用パラメータ: オシレーション軸、振幅、周期、位相</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通常送り指令G01等: 基準送り</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機械ビルダー定義の開始/停止信号</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include/cnc209_feature.h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src/cnc209_feature.c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TS_SERVICEループからTs_CNC209_Prepareを呼び出し、準備済み実行バッファをコミットする。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RT_CONTROL周期からRt_CNC209_ExecuteCycleを呼び出し、固定長データを消費する。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tests/test_cnc209_feature.c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IBM_BOB_ENABLE_CNC209、バッファ長、最大対象軸数、RT計測有効化マクロを追加する。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CNC209_FEATURE_REQUEST / CNC209_FEATURE_STATUS / CNC209_EXEC_BUFFERを追加する。既存構造体のフィールド順序は変更しない。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Api_GetCNC209Status、Api_RequestCNC209ConfigUpdateのプロトタイプを追加する。既存APIは互換維持。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include/cnc209_feature.h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src/cnc209_feature.c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tests/test_cnc209_feature.c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CNC209_FEATURE_CONFIG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CNC209_FEATURE_REQUEST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CNC209_FEATURE_STATUS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CNC209_EXEC_BLOCK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CNC209_EXEC_BUFFER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CNC209_FEATURE_STATUS;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CNC209_EXEC_BLOCK;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Api_GetCNC209Status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Api_RequestCNC209ConfigUpdate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Ts_CNC209_Prepare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Ts_CNC209_CommitExecBuffer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CNC209_EXEC_BUFFER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Rt_CNC209_ValidateSnapshot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Rt_CNC209_ExecuteCycle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対象サーボ軸</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振幅</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周期/周波数</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基準送り速度</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開始/停止信号</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学習制御補正値</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振動補正済み軸指令</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振動有効状態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追従誤差監視結果</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過負荷/過振幅アラーム</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先読み、速度プロファイル、許容誤差判定、ジャーク/加速度制限計算はTS_SERVICEで行う。</w:t>
      </w:r>
    </w:p>
    <w:p>
      <w:pPr>
        <w:pStyle w:val="ListBullet"/>
        <w:spacing w:after="0"/>
      </w:pPr>
      <w:r>
        <w:rPr>
          <w:rFonts w:ascii="Noto Sans CJK JP" w:hAnsi="Noto Sans CJK JP" w:eastAsia="Noto Sans CJK JP"/>
          <w:sz w:val="17"/>
        </w:rPr>
        <w:t>RT_CONTROLは先読み充足率とプロファイル世代を監視し、アンダーラン時は安全側速度または停止へ遷移する。</w:t>
      </w:r>
    </w:p>
    <w:p>
      <w:pPr>
        <w:pStyle w:val="ListBullet"/>
        <w:spacing w:after="0"/>
      </w:pPr>
      <w:r>
        <w:rPr>
          <w:rFonts w:ascii="Noto Sans CJK JP" w:hAnsi="Noto Sans CJK JP" w:eastAsia="Noto Sans CJK JP"/>
          <w:sz w:val="17"/>
        </w:rPr>
        <w:t>RT_CONTROLは周期内で軽量な監視・サンプル記録のみを行い、詳細解析・保存・統計処理はTS_SERVICEで行う。</w:t>
      </w:r>
    </w:p>
    <w:p>
      <w:pPr>
        <w:pStyle w:val="ListBullet"/>
        <w:spacing w:after="0"/>
      </w:pPr>
      <w:r>
        <w:rPr>
          <w:rFonts w:ascii="Noto Sans CJK JP" w:hAnsi="Noto Sans CJK JP" w:eastAsia="Noto Sans CJK JP"/>
          <w:sz w:val="17"/>
        </w:rPr>
        <w:t>安全監視はフェイルセーフ優先とし、診断ログはRT要求をTSが後段で永続化する。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TS_SERVICEが振動条件を読み込み、機械仕様上の速度・加速度範囲を超えないことを確認する。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サイン波速度または位置補正テーブルを生成し、共有領域へ登録する。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RT_CONTROLが基準送りに補正テーブルを加算し、各周期で軸負荷、追従誤差、リミットを監視する。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停止時は位相を考慮して滑らかに補正量をゼロへ戻す。</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Rt_CNC209_ExecuteCycle(RT_CONTEXT* rt) {</w:t>
      </w:r>
    </w:p>
    <w:p>
      <w:pPr>
        <w:pStyle w:val="CodeText"/>
        <w:spacing w:after="0"/>
      </w:pPr>
      <w:r>
        <w:rPr>
          <w:rFonts w:ascii="Noto Sans CJK JP" w:hAnsi="Noto Sans CJK JP" w:eastAsia="Noto Sans CJK JP"/>
          <w:sz w:val="14"/>
        </w:rPr>
        <w:t xml:space="preserve">    const CNC209_EXEC_BUFFER* buf = &amp;g_cnc209Feature.exec_buffer;</w:t>
      </w:r>
    </w:p>
    <w:p>
      <w:pPr>
        <w:pStyle w:val="CodeText"/>
        <w:spacing w:after="0"/>
      </w:pPr>
      <w:r>
        <w:rPr>
          <w:rFonts w:ascii="Noto Sans CJK JP" w:hAnsi="Noto Sans CJK JP" w:eastAsia="Noto Sans CJK JP"/>
          <w:sz w:val="14"/>
        </w:rPr>
        <w:t xml:space="preserve">    if (!Rt_CNC209_ValidateSnapshot(buf)) {</w:t>
      </w:r>
    </w:p>
    <w:p>
      <w:pPr>
        <w:pStyle w:val="CodeText"/>
        <w:spacing w:after="0"/>
      </w:pPr>
      <w:r>
        <w:rPr>
          <w:rFonts w:ascii="Noto Sans CJK JP" w:hAnsi="Noto Sans CJK JP" w:eastAsia="Noto Sans CJK JP"/>
          <w:sz w:val="14"/>
        </w:rPr>
        <w:t xml:space="preserve">        Rt_SetFeatureAlarm(CNC209_ALM_BUFFER_INVALID);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(g_cnc209Feature.status.state == CNC209_STATE_ACTIVE) {</w:t>
      </w:r>
    </w:p>
    <w:p>
      <w:pPr>
        <w:pStyle w:val="CodeText"/>
        <w:spacing w:after="0"/>
      </w:pPr>
      <w:r>
        <w:rPr>
          <w:rFonts w:ascii="Noto Sans CJK JP" w:hAnsi="Noto Sans CJK JP" w:eastAsia="Noto Sans CJK JP"/>
          <w:sz w:val="14"/>
        </w:rPr>
        <w:t xml:space="preserve">        const CNC209_EXEC_BLOCK*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CNC209_FEATURE_REQUEST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CNC209_FEATURE_CONFIG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CNC209_EXEC_BUFFER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CNC209_EXEC_BLOCK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CNC209_FEATURE_STATUS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CNC209_ENABLE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CNC209_MAX_BUFFER_BLOCKS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CNC209_UNDERRUN_POLICY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CNC209_ALARM_LEVEL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CNC209_RT_BUDGET_USEC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CNC209-ALM-001</w:t>
            </w:r>
          </w:p>
        </w:tc>
        <w:tc>
          <w:tcPr>
            <w:tcW w:type="dxa" w:w="2835"/>
            <w:vAlign w:val="top"/>
          </w:tcPr>
          <w:p>
            <w:pPr>
              <w:spacing w:after="0" w:line="240" w:lineRule="auto"/>
            </w:pPr>
            <w:r/>
            <w:r>
              <w:rPr>
                <w:rFonts w:ascii="Noto Sans CJK JP" w:hAnsi="Noto Sans CJK JP" w:eastAsia="Noto Sans CJK JP"/>
                <w:b w:val="0"/>
                <w:sz w:val="15"/>
              </w:rPr>
              <w:t>振幅/周波数範囲外</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CNC209-ALM-002</w:t>
            </w:r>
          </w:p>
        </w:tc>
        <w:tc>
          <w:tcPr>
            <w:tcW w:type="dxa" w:w="2835"/>
            <w:vAlign w:val="top"/>
          </w:tcPr>
          <w:p>
            <w:pPr>
              <w:spacing w:after="0" w:line="240" w:lineRule="auto"/>
            </w:pPr>
            <w:r/>
            <w:r>
              <w:rPr>
                <w:rFonts w:ascii="Noto Sans CJK JP" w:hAnsi="Noto Sans CJK JP" w:eastAsia="Noto Sans CJK JP"/>
                <w:b w:val="0"/>
                <w:sz w:val="15"/>
              </w:rPr>
              <w:t>追従誤差超過</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CNC209-ALM-003</w:t>
            </w:r>
          </w:p>
        </w:tc>
        <w:tc>
          <w:tcPr>
            <w:tcW w:type="dxa" w:w="2835"/>
            <w:vAlign w:val="top"/>
          </w:tcPr>
          <w:p>
            <w:pPr>
              <w:spacing w:after="0" w:line="240" w:lineRule="auto"/>
            </w:pPr>
            <w:r/>
            <w:r>
              <w:rPr>
                <w:rFonts w:ascii="Noto Sans CJK JP" w:hAnsi="Noto Sans CJK JP" w:eastAsia="Noto Sans CJK JP"/>
                <w:b w:val="0"/>
                <w:sz w:val="15"/>
              </w:rPr>
              <w:t>過負荷</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CNC209-ALM-004</w:t>
            </w:r>
          </w:p>
        </w:tc>
        <w:tc>
          <w:tcPr>
            <w:tcW w:type="dxa" w:w="2835"/>
            <w:vAlign w:val="top"/>
          </w:tcPr>
          <w:p>
            <w:pPr>
              <w:spacing w:after="0" w:line="240" w:lineRule="auto"/>
            </w:pPr>
            <w:r/>
            <w:r>
              <w:rPr>
                <w:rFonts w:ascii="Noto Sans CJK JP" w:hAnsi="Noto Sans CJK JP" w:eastAsia="Noto Sans CJK JP"/>
                <w:b w:val="0"/>
                <w:sz w:val="15"/>
              </w:rPr>
              <w:t>対象軸未設定</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CNC209-ALM-005</w:t>
            </w:r>
          </w:p>
        </w:tc>
        <w:tc>
          <w:tcPr>
            <w:tcW w:type="dxa" w:w="2835"/>
            <w:vAlign w:val="top"/>
          </w:tcPr>
          <w:p>
            <w:pPr>
              <w:spacing w:after="0" w:line="240" w:lineRule="auto"/>
            </w:pPr>
            <w:r/>
            <w:r>
              <w:rPr>
                <w:rFonts w:ascii="Noto Sans CJK JP" w:hAnsi="Noto Sans CJK JP" w:eastAsia="Noto Sans CJK JP"/>
                <w:b w:val="0"/>
                <w:sz w:val="15"/>
              </w:rPr>
              <w:t>併用禁止モード</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CNC209_FEATURE_REQUEST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CNC209_FEATURE_CONFIG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CNC209_EXEC_BUFFER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CNC209_FEATURE_STATUS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CNC209-LOG-START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CNC209-LOG-COMMIT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CNC209-LOG-RTMAX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CNC209-LOG-ALARM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CNC209-LOG-END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UT-CNC209-001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UT-CNC209-002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UT-CNC209-003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UT-CNC209-004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UT-CNC209-005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FT-CNC209-001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FT-CNC209-002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FT-CNC209-003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FT-CNC209-004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FT-CNC209-005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TBD-CNC209-001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TBD-CNC209-002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TBD-CNC209-003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TBD-CNC209-004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高精度振動機能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高精度振動機能 詳細設計書</dc:title>
  <dc:subject>高精度振動機能</dc:subject>
  <dc:creator>python-docx</dc:creator>
  <cp:keywords/>
  <dc:description>schema_version=ibm-bob-detail-design/2.0; review_status=draft_for_review; source_basic_design=../基本設計書/高精度振動機能 基本設計書.docx</dc:description>
  <cp:lastModifiedBy/>
  <cp:revision>1</cp:revision>
  <dcterms:created xsi:type="dcterms:W3CDTF">2013-12-23T23:15:00Z</dcterms:created>
  <dcterms:modified xsi:type="dcterms:W3CDTF">2013-12-23T23:15:00Z</dcterms:modified>
  <cp:category/>
</cp:coreProperties>
</file>