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GarageYrBtl(</w:t>
      </w:r>
      <w:r w:rsidDel="00000000" w:rsidR="00000000" w:rsidRPr="00000000">
        <w:rPr>
          <w:rFonts w:ascii="Lora" w:cs="Lora" w:eastAsia="Lora" w:hAnsi="Lora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ano em que a garagem foi construída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) - YearBuit(</w:t>
      </w: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Ano de construção</w:t>
      </w:r>
      <w:r w:rsidDel="00000000" w:rsidR="00000000" w:rsidRPr="00000000">
        <w:rPr>
          <w:rFonts w:ascii="Lora" w:cs="Lora" w:eastAsia="Lora" w:hAnsi="Lora"/>
          <w:sz w:val="44"/>
          <w:szCs w:val="44"/>
          <w:rtl w:val="0"/>
        </w:rPr>
        <w:t xml:space="preserve">)/</w:t>
      </w: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0.83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Saleprice(preço de venda) - </w:t>
      </w: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OverallQual (avalia o material geral e o acabamento da casa) / 0.79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Lora" w:cs="Lora" w:eastAsia="Lora" w:hAnsi="Lora"/>
          <w:b w:val="1"/>
          <w:sz w:val="30"/>
          <w:szCs w:val="30"/>
          <w:rtl w:val="0"/>
        </w:rPr>
        <w:t xml:space="preserve"> O preço de venda aumenta de acordo com o material da casa?</w:t>
      </w: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) 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GrLivArea ( pés quadrados de área de estar acima do nível do solo) - Saleprice(preço de venda) / 0.71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TotRmsAbvGrd: Total de quartos acima da categoria (não inclui banheiros) - GrLivArea ( pés quadrados de área de estar acima do nível do solo) / 0.83</w:t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GarageCars: Tamanho da garagem em capacidade de carros - GarageArea: Tamanho da garagem em pés quadrados / 0.88</w:t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