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BC9C"/>
          <w:sz w:val="28"/>
          <w:szCs w:val="28"/>
        </w:rPr>
        <w:t xml:space="preserve">NOTEBOOK PAGE — CONTENT DOCUMENT</w:t>
      </w:r>
    </w:p>
    <w:p>
      <w:pPr>
        <w:spacing w:after="60" w:before="0"/>
      </w:pPr>
      <w:r>
        <w:rPr>
          <w:rFonts w:ascii="Arial" w:cs="Arial" w:eastAsia="Arial" w:hAnsi="Arial"/>
          <w:color w:val="666666"/>
          <w:sz w:val="22"/>
          <w:szCs w:val="22"/>
        </w:rPr>
        <w:t xml:space="preserve">Katarina Riesgo Stropkova — Research-led Product Designer</w:t>
      </w:r>
    </w:p>
    <w:p>
      <w:pPr>
        <w:spacing w:after="120" w:before="60"/>
      </w:pPr>
      <w:r>
        <w:rPr>
          <w:rFonts w:ascii="Arial" w:cs="Arial" w:eastAsia="Arial" w:hAnsi="Arial"/>
          <w:i/>
          <w:iCs/>
          <w:color w:val="666666"/>
          <w:sz w:val="18"/>
          <w:szCs w:val="18"/>
        </w:rPr>
        <w:t xml:space="preserve">This document contains all locked copy, section headers, labels and CTAs for the Notebook page. Prepared for handoff to Claude Code.</w:t>
      </w:r>
    </w:p>
    <w:p>
      <w:pPr>
        <w:pBdr>
          <w:bottom w:val="single" w:color="E0E0E0" w:sz="4"/>
        </w:pBdr>
        <w:spacing w:after="240" w:before="240"/>
      </w:pPr>
      <w:r>
        <w:t xml:space="preserve"/>
      </w:r>
    </w:p>
    <w:p>
      <w:pPr>
        <w:pStyle w:val="Heading1"/>
        <w:spacing w:after="160" w:before="480"/>
      </w:pPr>
      <w:r>
        <w:rPr>
          <w:rFonts w:ascii="Arial" w:cs="Arial" w:eastAsia="Arial" w:hAnsi="Arial"/>
          <w:b/>
          <w:bCs/>
          <w:color w:val="1a1a2e"/>
          <w:sz w:val="36"/>
          <w:szCs w:val="36"/>
        </w:rPr>
        <w:t xml:space="preserve">Naming History — For Reference</w:t>
      </w:r>
    </w:p>
    <w:p>
      <w:pPr>
        <w:spacing w:after="120" w:before="60"/>
      </w:pPr>
      <w:r>
        <w:rPr>
          <w:rFonts w:ascii="Arial" w:cs="Arial" w:eastAsia="Arial" w:hAnsi="Arial"/>
          <w:i/>
          <w:iCs/>
          <w:color w:val="666666"/>
          <w:sz w:val="18"/>
          <w:szCs w:val="18"/>
        </w:rPr>
        <w:t xml:space="preserve">This page has gone through three names during the content process. Claude Code should use the final name only.</w:t>
      </w:r>
    </w:p>
    <w:p>
      <w:pPr>
        <w:spacing w:after="160" w:before="80"/>
      </w:pPr>
      <w:r>
        <w:rPr>
          <w:rFonts w:ascii="Arial" w:cs="Arial" w:eastAsia="Arial" w:hAnsi="Arial"/>
          <w:color w:val="333333"/>
          <w:sz w:val="22"/>
          <w:szCs w:val="22"/>
        </w:rPr>
        <w:t xml:space="preserve">Field Notes → Research Lab → Notebook</w:t>
      </w:r>
    </w:p>
    <w:p>
      <w:pPr>
        <w:spacing w:after="60" w:before="200"/>
      </w:pPr>
      <w:r>
        <w:rPr>
          <w:rFonts w:ascii="Arial" w:cs="Arial" w:eastAsia="Arial" w:hAnsi="Arial"/>
          <w:b/>
          <w:bCs/>
          <w:color w:val="666666"/>
          <w:spacing w:val="40"/>
          <w:sz w:val="18"/>
          <w:szCs w:val="18"/>
        </w:rPr>
        <w:t xml:space="preserve">FINAL NAME — LOCKED</w:t>
      </w:r>
    </w:p>
    <w:p>
      <w:pPr>
        <w:spacing w:after="160" w:before="80"/>
      </w:pPr>
      <w:r>
        <w:rPr>
          <w:rFonts w:ascii="Arial" w:cs="Arial" w:eastAsia="Arial" w:hAnsi="Arial"/>
          <w:b/>
          <w:bCs/>
          <w:color w:val="1a1a2e"/>
          <w:sz w:val="28"/>
          <w:szCs w:val="28"/>
        </w:rPr>
        <w:t xml:space="preserve">Notebook</w:t>
      </w:r>
    </w:p>
    <w:p>
      <w:pPr>
        <w:spacing w:after="120" w:before="60"/>
      </w:pPr>
      <w:r>
        <w:rPr>
          <w:rFonts w:ascii="Arial" w:cs="Arial" w:eastAsia="Arial" w:hAnsi="Arial"/>
          <w:i/>
          <w:iCs/>
          <w:color w:val="666666"/>
          <w:sz w:val="18"/>
          <w:szCs w:val="18"/>
        </w:rPr>
        <w:t xml:space="preserve">Reason for final name: more accessible than Research Lab, more professional than Field Notes, and accurately describes the nature of the content — writing that is personal, analytical and not AI-generated.</w:t>
      </w:r>
    </w:p>
    <w:p>
      <w:pPr>
        <w:pBdr>
          <w:bottom w:val="single" w:color="E0E0E0" w:sz="4"/>
        </w:pBdr>
        <w:spacing w:after="240" w:before="240"/>
      </w:pPr>
      <w:r>
        <w:t xml:space="preserve"/>
      </w:r>
    </w:p>
    <w:p>
      <w:pPr>
        <w:pStyle w:val="Heading1"/>
        <w:spacing w:after="160" w:before="480"/>
      </w:pPr>
      <w:r>
        <w:rPr>
          <w:rFonts w:ascii="Arial" w:cs="Arial" w:eastAsia="Arial" w:hAnsi="Arial"/>
          <w:b/>
          <w:bCs/>
          <w:color w:val="1a1a2e"/>
          <w:sz w:val="36"/>
          <w:szCs w:val="36"/>
        </w:rPr>
        <w:t xml:space="preserve">Page Purpose</w:t>
      </w:r>
    </w:p>
    <w:p>
      <w:pPr>
        <w:spacing w:after="160" w:before="80"/>
      </w:pPr>
      <w:r>
        <w:rPr>
          <w:rFonts w:ascii="Arial" w:cs="Arial" w:eastAsia="Arial" w:hAnsi="Arial"/>
          <w:color w:val="333333"/>
          <w:sz w:val="22"/>
          <w:szCs w:val="22"/>
        </w:rPr>
        <w:t xml:space="preserve">The Notebook is where Katarina publishes her own writing — articles, frameworks and observations from the field. The content is explicitly not AI-generated, only proofread. This distinguishes it from generic thought leadership and positions it as genuine intellectual output.</w:t>
      </w:r>
    </w:p>
    <w:p>
      <w:pPr>
        <w:spacing w:after="120" w:before="60"/>
      </w:pPr>
      <w:r>
        <w:rPr>
          <w:rFonts w:ascii="Arial" w:cs="Arial" w:eastAsia="Arial" w:hAnsi="Arial"/>
          <w:i/>
          <w:iCs/>
          <w:color w:val="666666"/>
          <w:sz w:val="18"/>
          <w:szCs w:val="18"/>
        </w:rPr>
        <w:t xml:space="preserve">This distinction is worth communicating subtly in the page intro — readers and recruiters increasingly recognise the difference between original thinking and AI-assembled content.</w:t>
      </w:r>
    </w:p>
    <w:p>
      <w:pPr>
        <w:pBdr>
          <w:bottom w:val="single" w:color="E0E0E0" w:sz="4"/>
        </w:pBdr>
        <w:spacing w:after="240" w:before="240"/>
      </w:pPr>
      <w:r>
        <w:t xml:space="preserve"/>
      </w:r>
    </w:p>
    <w:p>
      <w:pPr>
        <w:pStyle w:val="Heading1"/>
        <w:spacing w:after="160" w:before="480"/>
      </w:pPr>
      <w:r>
        <w:rPr>
          <w:rFonts w:ascii="Arial" w:cs="Arial" w:eastAsia="Arial" w:hAnsi="Arial"/>
          <w:b/>
          <w:bCs/>
          <w:color w:val="1a1a2e"/>
          <w:sz w:val="36"/>
          <w:szCs w:val="36"/>
        </w:rPr>
        <w:t xml:space="preserve">Navigation Label</w:t>
      </w:r>
    </w:p>
    <w:p>
      <w:pPr>
        <w:spacing w:after="60" w:before="200"/>
      </w:pPr>
      <w:r>
        <w:rPr>
          <w:rFonts w:ascii="Arial" w:cs="Arial" w:eastAsia="Arial" w:hAnsi="Arial"/>
          <w:b/>
          <w:bCs/>
          <w:color w:val="666666"/>
          <w:spacing w:val="40"/>
          <w:sz w:val="18"/>
          <w:szCs w:val="18"/>
        </w:rPr>
        <w:t xml:space="preserve">AS IT APPEARS IN THE MAIN NAVIGATION</w:t>
      </w:r>
    </w:p>
    <w:p>
      <w:pPr>
        <w:spacing w:after="160" w:before="80"/>
      </w:pPr>
      <w:r>
        <w:rPr>
          <w:rFonts w:ascii="Arial" w:cs="Arial" w:eastAsia="Arial" w:hAnsi="Arial"/>
          <w:b/>
          <w:bCs/>
          <w:color w:val="1a1a2e"/>
          <w:sz w:val="24"/>
          <w:szCs w:val="24"/>
        </w:rPr>
        <w:t xml:space="preserve">Notebook</w:t>
      </w:r>
    </w:p>
    <w:p>
      <w:pPr>
        <w:spacing w:after="120" w:before="60"/>
      </w:pPr>
      <w:r>
        <w:rPr>
          <w:rFonts w:ascii="Arial" w:cs="Arial" w:eastAsia="Arial" w:hAnsi="Arial"/>
          <w:i/>
          <w:iCs/>
          <w:color w:val="666666"/>
          <w:sz w:val="18"/>
          <w:szCs w:val="18"/>
        </w:rPr>
        <w:t xml:space="preserve">Full nav string for reference: Home — Work — About — Notebook</w:t>
      </w:r>
    </w:p>
    <w:p>
      <w:pPr>
        <w:pBdr>
          <w:bottom w:val="single" w:color="E0E0E0" w:sz="4"/>
        </w:pBdr>
        <w:spacing w:after="240" w:before="240"/>
      </w:pPr>
      <w:r>
        <w:t xml:space="preserve"/>
      </w:r>
    </w:p>
    <w:p>
      <w:pPr>
        <w:pStyle w:val="Heading1"/>
        <w:spacing w:after="160" w:before="480"/>
      </w:pPr>
      <w:r>
        <w:rPr>
          <w:rFonts w:ascii="Arial" w:cs="Arial" w:eastAsia="Arial" w:hAnsi="Arial"/>
          <w:b/>
          <w:bCs/>
          <w:color w:val="1a1a2e"/>
          <w:sz w:val="36"/>
          <w:szCs w:val="36"/>
        </w:rPr>
        <w:t xml:space="preserve">Page Header Content</w:t>
      </w:r>
    </w:p>
    <w:p>
      <w:pPr>
        <w:spacing w:after="60" w:before="200"/>
      </w:pPr>
      <w:r>
        <w:rPr>
          <w:rFonts w:ascii="Arial" w:cs="Arial" w:eastAsia="Arial" w:hAnsi="Arial"/>
          <w:b/>
          <w:bCs/>
          <w:color w:val="666666"/>
          <w:spacing w:val="40"/>
          <w:sz w:val="18"/>
          <w:szCs w:val="18"/>
        </w:rPr>
        <w:t xml:space="preserve">PAGE TITLE</w:t>
      </w:r>
    </w:p>
    <w:p>
      <w:pPr>
        <w:spacing w:after="160" w:before="80"/>
      </w:pPr>
      <w:r>
        <w:rPr>
          <w:rFonts w:ascii="Arial" w:cs="Arial" w:eastAsia="Arial" w:hAnsi="Arial"/>
          <w:color w:val="333333"/>
          <w:sz w:val="22"/>
          <w:szCs w:val="22"/>
        </w:rPr>
        <w:t xml:space="preserve">Notebook</w:t>
      </w:r>
    </w:p>
    <w:p>
      <w:pPr>
        <w:spacing w:after="120" w:before="120"/>
      </w:pPr>
      <w:r>
        <w:t xml:space="preserve"/>
      </w:r>
    </w:p>
    <w:p>
      <w:pPr>
        <w:spacing w:after="60" w:before="200"/>
      </w:pPr>
      <w:r>
        <w:rPr>
          <w:rFonts w:ascii="Arial" w:cs="Arial" w:eastAsia="Arial" w:hAnsi="Arial"/>
          <w:b/>
          <w:bCs/>
          <w:color w:val="666666"/>
          <w:spacing w:val="40"/>
          <w:sz w:val="18"/>
          <w:szCs w:val="18"/>
        </w:rPr>
        <w:t xml:space="preserve">PAGE INTRO — APPEARS BENEATH THE TITLE</w:t>
      </w:r>
    </w:p>
    <w:p>
      <w:pPr>
        <w:spacing w:after="160" w:before="80"/>
      </w:pPr>
      <w:r>
        <w:rPr>
          <w:rFonts w:ascii="Arial" w:cs="Arial" w:eastAsia="Arial" w:hAnsi="Arial"/>
          <w:color w:val="333333"/>
          <w:sz w:val="22"/>
          <w:szCs w:val="22"/>
        </w:rPr>
        <w:t xml:space="preserve">Thinking out loud — articles, frameworks and observations from the field.</w:t>
      </w:r>
    </w:p>
    <w:p>
      <w:pPr>
        <w:spacing w:after="120" w:before="60"/>
      </w:pPr>
      <w:r>
        <w:rPr>
          <w:rFonts w:ascii="Arial" w:cs="Arial" w:eastAsia="Arial" w:hAnsi="Arial"/>
          <w:i/>
          <w:iCs/>
          <w:color w:val="666666"/>
          <w:sz w:val="18"/>
          <w:szCs w:val="18"/>
        </w:rPr>
        <w:t xml:space="preserve">This is the same copy used in the CTA card on the homepage. Keep consistent across both locations.</w:t>
      </w:r>
    </w:p>
    <w:p>
      <w:pPr>
        <w:pBdr>
          <w:bottom w:val="single" w:color="E0E0E0" w:sz="4"/>
        </w:pBdr>
        <w:spacing w:after="240" w:before="240"/>
      </w:pPr>
      <w:r>
        <w:t xml:space="preserve"/>
      </w:r>
    </w:p>
    <w:p>
      <w:pPr>
        <w:pStyle w:val="Heading1"/>
        <w:spacing w:after="160" w:before="480"/>
      </w:pPr>
      <w:r>
        <w:rPr>
          <w:rFonts w:ascii="Arial" w:cs="Arial" w:eastAsia="Arial" w:hAnsi="Arial"/>
          <w:b/>
          <w:bCs/>
          <w:color w:val="1a1a2e"/>
          <w:sz w:val="36"/>
          <w:szCs w:val="36"/>
        </w:rPr>
        <w:t xml:space="preserve">Current Article Content</w:t>
      </w:r>
    </w:p>
    <w:p>
      <w:pPr>
        <w:spacing w:after="60" w:before="200"/>
      </w:pPr>
      <w:r>
        <w:rPr>
          <w:rFonts w:ascii="Arial" w:cs="Arial" w:eastAsia="Arial" w:hAnsi="Arial"/>
          <w:b/>
          <w:bCs/>
          <w:color w:val="666666"/>
          <w:spacing w:val="40"/>
          <w:sz w:val="18"/>
          <w:szCs w:val="18"/>
        </w:rPr>
        <w:t xml:space="preserve">FIRST PUBLISHED ARTICLE — READY FOR HANDOFF</w:t>
      </w:r>
    </w:p>
    <w:p>
      <w:pPr>
        <w:spacing w:after="160" w:before="80"/>
      </w:pPr>
      <w:r>
        <w:rPr>
          <w:rFonts w:ascii="Arial" w:cs="Arial" w:eastAsia="Arial" w:hAnsi="Arial"/>
          <w:color w:val="333333"/>
          <w:sz w:val="22"/>
          <w:szCs w:val="22"/>
        </w:rPr>
        <w:t xml:space="preserve">Title: Predicting the Future of UX</w:t>
      </w:r>
    </w:p>
    <w:p>
      <w:pPr>
        <w:spacing w:after="160" w:before="80"/>
      </w:pPr>
      <w:r>
        <w:rPr>
          <w:rFonts w:ascii="Arial" w:cs="Arial" w:eastAsia="Arial" w:hAnsi="Arial"/>
          <w:color w:val="333333"/>
          <w:sz w:val="22"/>
          <w:szCs w:val="22"/>
        </w:rPr>
        <w:t xml:space="preserve">Subtitle: An Analysis of Changes in the UX Research Ecosystem</w:t>
      </w:r>
    </w:p>
    <w:p>
      <w:pPr>
        <w:spacing w:after="160" w:before="80"/>
      </w:pPr>
      <w:r>
        <w:rPr>
          <w:rFonts w:ascii="Arial" w:cs="Arial" w:eastAsia="Arial" w:hAnsi="Arial"/>
          <w:color w:val="333333"/>
          <w:sz w:val="22"/>
          <w:szCs w:val="22"/>
        </w:rPr>
        <w:t xml:space="preserve">Category tags: UX Research · AI · Industry Perspective</w:t>
      </w:r>
    </w:p>
    <w:p>
      <w:pPr>
        <w:spacing w:after="160" w:before="80"/>
      </w:pPr>
      <w:r>
        <w:rPr>
          <w:rFonts w:ascii="Arial" w:cs="Arial" w:eastAsia="Arial" w:hAnsi="Arial"/>
          <w:color w:val="333333"/>
          <w:sz w:val="22"/>
          <w:szCs w:val="22"/>
        </w:rPr>
        <w:t xml:space="preserve">Status: Final copy ready. See separate file: notebook_article_v1.docx</w:t>
      </w:r>
    </w:p>
    <w:p>
      <w:pPr>
        <w:spacing w:after="120" w:before="120"/>
      </w:pPr>
      <w:r>
        <w:t xml:space="preserve"/>
      </w:r>
    </w:p>
    <w:p>
      <w:pPr>
        <w:spacing w:after="120" w:before="60"/>
      </w:pPr>
      <w:r>
        <w:rPr>
          <w:rFonts w:ascii="Arial" w:cs="Arial" w:eastAsia="Arial" w:hAnsi="Arial"/>
          <w:i/>
          <w:iCs/>
          <w:color w:val="666666"/>
          <w:sz w:val="18"/>
          <w:szCs w:val="18"/>
        </w:rPr>
        <w:t xml:space="preserve">Content note: The article is Katarina's original writing, enhanced and proofread. It is not AI-generated. The 80% statistic is sourced and cited: User Interviews, State of User Research Report 2025 — verify exact figure before publishing.</w:t>
      </w:r>
    </w:p>
    <w:p>
      <w:pPr>
        <w:spacing w:after="120" w:before="60"/>
      </w:pPr>
      <w:r>
        <w:rPr>
          <w:rFonts w:ascii="Arial" w:cs="Arial" w:eastAsia="Arial" w:hAnsi="Arial"/>
          <w:i/>
          <w:iCs/>
          <w:color w:val="666666"/>
          <w:sz w:val="18"/>
          <w:szCs w:val="18"/>
        </w:rPr>
        <w:t xml:space="preserve">The article includes a pull quote treatment in three places. Claude Code should apply consistent visual styling to all pull quotes across the Notebook section.</w:t>
      </w:r>
    </w:p>
    <w:p>
      <w:pPr>
        <w:pBdr>
          <w:bottom w:val="single" w:color="E0E0E0" w:sz="4"/>
        </w:pBdr>
        <w:spacing w:after="240" w:before="240"/>
      </w:pPr>
      <w:r>
        <w:t xml:space="preserve"/>
      </w:r>
    </w:p>
    <w:p>
      <w:pPr>
        <w:pStyle w:val="Heading1"/>
        <w:spacing w:after="160" w:before="480"/>
      </w:pPr>
      <w:r>
        <w:rPr>
          <w:rFonts w:ascii="Arial" w:cs="Arial" w:eastAsia="Arial" w:hAnsi="Arial"/>
          <w:b/>
          <w:bCs/>
          <w:color w:val="1a1a2e"/>
          <w:sz w:val="36"/>
          <w:szCs w:val="36"/>
        </w:rPr>
        <w:t xml:space="preserve">Article Card — Index View</w:t>
      </w:r>
    </w:p>
    <w:p>
      <w:pPr>
        <w:spacing w:after="120" w:before="60"/>
      </w:pPr>
      <w:r>
        <w:rPr>
          <w:rFonts w:ascii="Arial" w:cs="Arial" w:eastAsia="Arial" w:hAnsi="Arial"/>
          <w:i/>
          <w:iCs/>
          <w:color w:val="666666"/>
          <w:sz w:val="18"/>
          <w:szCs w:val="18"/>
        </w:rPr>
        <w:t xml:space="preserve">Each article on the Notebook index page appears as a card. The following fields are needed per card.</w:t>
      </w:r>
    </w:p>
    <w:p>
      <w:pPr>
        <w:spacing w:after="120" w:before="120"/>
      </w:pPr>
      <w:r>
        <w:t xml:space="preserve"/>
      </w:r>
    </w:p>
    <w:p>
      <w:pPr>
        <w:spacing w:after="60" w:before="200"/>
      </w:pPr>
      <w:r>
        <w:rPr>
          <w:rFonts w:ascii="Arial" w:cs="Arial" w:eastAsia="Arial" w:hAnsi="Arial"/>
          <w:b/>
          <w:bCs/>
          <w:color w:val="666666"/>
          <w:spacing w:val="40"/>
          <w:sz w:val="18"/>
          <w:szCs w:val="18"/>
        </w:rPr>
        <w:t xml:space="preserve">CARD FIELDS — FIRST ARTICLE</w:t>
      </w:r>
    </w:p>
    <w:p>
      <w:pPr>
        <w:spacing w:after="160" w:before="80"/>
      </w:pPr>
      <w:r>
        <w:rPr>
          <w:rFonts w:ascii="Arial" w:cs="Arial" w:eastAsia="Arial" w:hAnsi="Arial"/>
          <w:color w:val="333333"/>
          <w:sz w:val="22"/>
          <w:szCs w:val="22"/>
        </w:rPr>
        <w:t xml:space="preserve">Title: Predicting the Future of UX</w:t>
      </w:r>
    </w:p>
    <w:p>
      <w:pPr>
        <w:spacing w:after="160" w:before="80"/>
      </w:pPr>
      <w:r>
        <w:rPr>
          <w:rFonts w:ascii="Arial" w:cs="Arial" w:eastAsia="Arial" w:hAnsi="Arial"/>
          <w:color w:val="333333"/>
          <w:sz w:val="22"/>
          <w:szCs w:val="22"/>
        </w:rPr>
        <w:t xml:space="preserve">Subtitle/description: A workshop, a cognitive bias, and what it reveals about how researchers think about their own future.</w:t>
      </w:r>
    </w:p>
    <w:p>
      <w:pPr>
        <w:spacing w:after="160" w:before="80"/>
      </w:pPr>
      <w:r>
        <w:rPr>
          <w:rFonts w:ascii="Arial" w:cs="Arial" w:eastAsia="Arial" w:hAnsi="Arial"/>
          <w:color w:val="333333"/>
          <w:sz w:val="22"/>
          <w:szCs w:val="22"/>
        </w:rPr>
        <w:t xml:space="preserve">Category tags: UX Research · AI · Industry Perspective</w:t>
      </w:r>
    </w:p>
    <w:p>
      <w:pPr>
        <w:spacing w:after="160" w:before="80"/>
      </w:pPr>
      <w:r>
        <w:rPr>
          <w:rFonts w:ascii="Arial" w:cs="Arial" w:eastAsia="Arial" w:hAnsi="Arial"/>
          <w:color w:val="333333"/>
          <w:sz w:val="22"/>
          <w:szCs w:val="22"/>
        </w:rPr>
        <w:t xml:space="preserve">Read time: approx. 8 min read</w:t>
      </w:r>
    </w:p>
    <w:p>
      <w:pPr>
        <w:spacing w:after="160" w:before="80"/>
      </w:pPr>
      <w:r>
        <w:rPr>
          <w:rFonts w:ascii="Arial" w:cs="Arial" w:eastAsia="Arial" w:hAnsi="Arial"/>
          <w:color w:val="333333"/>
          <w:sz w:val="22"/>
          <w:szCs w:val="22"/>
        </w:rPr>
        <w:t xml:space="preserve">Status label: none — article is published and open</w:t>
      </w:r>
    </w:p>
    <w:p>
      <w:pPr>
        <w:pBdr>
          <w:bottom w:val="single" w:color="E0E0E0" w:sz="4"/>
        </w:pBdr>
        <w:spacing w:after="240" w:before="240"/>
      </w:pPr>
      <w:r>
        <w:t xml:space="preserve"/>
      </w:r>
    </w:p>
    <w:p>
      <w:pPr>
        <w:pStyle w:val="Heading1"/>
        <w:spacing w:after="160" w:before="480"/>
      </w:pPr>
      <w:r>
        <w:rPr>
          <w:rFonts w:ascii="Arial" w:cs="Arial" w:eastAsia="Arial" w:hAnsi="Arial"/>
          <w:b/>
          <w:bCs/>
          <w:color w:val="1a1a2e"/>
          <w:sz w:val="36"/>
          <w:szCs w:val="36"/>
        </w:rPr>
        <w:t xml:space="preserve">CTAs</w:t>
      </w:r>
    </w:p>
    <w:p>
      <w:pPr>
        <w:spacing w:after="120" w:before="120"/>
      </w:pPr>
      <w:r>
        <w:t xml:space="preserve"/>
      </w:r>
    </w:p>
    <w:p>
      <w:pPr>
        <w:spacing w:after="60" w:before="200"/>
      </w:pPr>
      <w:r>
        <w:rPr>
          <w:rFonts w:ascii="Arial" w:cs="Arial" w:eastAsia="Arial" w:hAnsi="Arial"/>
          <w:b/>
          <w:bCs/>
          <w:color w:val="666666"/>
          <w:spacing w:val="40"/>
          <w:sz w:val="18"/>
          <w:szCs w:val="18"/>
        </w:rPr>
        <w:t xml:space="preserve">CTA 1 — HOMEPAGE CARD (POINTS TO NOTEBOOK PAGE)</w:t>
      </w:r>
    </w:p>
    <w:p>
      <w:pPr>
        <w:spacing w:after="120" w:before="60"/>
      </w:pPr>
      <w:r>
        <w:rPr>
          <w:rFonts w:ascii="Arial" w:cs="Arial" w:eastAsia="Arial" w:hAnsi="Arial"/>
          <w:i/>
          <w:iCs/>
          <w:color w:val="666666"/>
          <w:sz w:val="18"/>
          <w:szCs w:val="18"/>
        </w:rPr>
        <w:t xml:space="preserve">This CTA lives on the homepage as one of the two card CTAs. Copy must match the Notebook page intro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2"/>
              <w:left w:val="single" w:color="1ABC9C" w:sz="8"/>
              <w:bottom w:val="single" w:color="E0E0E0" w:sz="2"/>
              <w:right w:val="single" w:color="E0E0E0" w:sz="2"/>
            </w:tcBorders>
            <w:shd w:fill="F5F7FA" w:val="clear"/>
            <w:tcMar>
              <w:top w:type="dxa" w:w="200"/>
              <w:left w:type="dxa" w:w="240"/>
              <w:bottom w:type="dxa" w:w="200"/>
              <w:right w:type="dxa" w:w="240"/>
            </w:tcMar>
          </w:tcPr>
          <w:p>
            <w:pPr>
              <w:spacing w:after="60" w:before="60"/>
            </w:pPr>
            <w:r>
              <w:rPr>
                <w:rFonts w:ascii="Arial" w:cs="Arial" w:eastAsia="Arial" w:hAnsi="Arial"/>
                <w:b/>
                <w:bCs/>
                <w:color w:val="1ABC9C"/>
                <w:sz w:val="18"/>
                <w:szCs w:val="18"/>
              </w:rPr>
              <w:t xml:space="preserve">CTA — Notebook — homepage card</w:t>
            </w:r>
          </w:p>
          <w:p>
            <w:pPr>
              <w:spacing w:after="80" w:before="40"/>
            </w:pPr>
            <w:r>
              <w:rPr>
                <w:rFonts w:ascii="Arial" w:cs="Arial" w:eastAsia="Arial" w:hAnsi="Arial"/>
                <w:color w:val="333333"/>
                <w:sz w:val="20"/>
                <w:szCs w:val="20"/>
              </w:rPr>
              <w:t xml:space="preserve">Thinking out loud — articles, frameworks and observations from the field. Appears on the homepage as Card 1 of the two CTA cards.</w:t>
            </w:r>
          </w:p>
          <w:p>
            <w:pPr>
              <w:spacing w:after="60" w:before="40"/>
            </w:pPr>
            <w:r>
              <w:rPr>
                <w:rFonts w:ascii="Arial" w:cs="Arial" w:eastAsia="Arial" w:hAnsi="Arial"/>
                <w:b/>
                <w:bCs/>
                <w:color w:val="1a1a2e"/>
                <w:sz w:val="20"/>
                <w:szCs w:val="20"/>
              </w:rPr>
              <w:t xml:space="preserve">Button label: "Read my writing →"</w:t>
            </w:r>
          </w:p>
        </w:tc>
      </w:tr>
    </w:tbl>
    <w:p>
      <w:pPr>
        <w:spacing w:after="120" w:before="120"/>
      </w:pPr>
      <w:r>
        <w:t xml:space="preserve"/>
      </w:r>
    </w:p>
    <w:p>
      <w:pPr>
        <w:spacing w:after="60" w:before="200"/>
      </w:pPr>
      <w:r>
        <w:rPr>
          <w:rFonts w:ascii="Arial" w:cs="Arial" w:eastAsia="Arial" w:hAnsi="Arial"/>
          <w:b/>
          <w:bCs/>
          <w:color w:val="666666"/>
          <w:spacing w:val="40"/>
          <w:sz w:val="18"/>
          <w:szCs w:val="18"/>
        </w:rPr>
        <w:t xml:space="preserve">CTA 2 — BOTTOM OF NOTEBOOK INDEX PAGE</w:t>
      </w:r>
    </w:p>
    <w:p>
      <w:pPr>
        <w:spacing w:after="120" w:before="60"/>
      </w:pPr>
      <w:r>
        <w:rPr>
          <w:rFonts w:ascii="Arial" w:cs="Arial" w:eastAsia="Arial" w:hAnsi="Arial"/>
          <w:i/>
          <w:iCs/>
          <w:color w:val="666666"/>
          <w:sz w:val="18"/>
          <w:szCs w:val="18"/>
        </w:rPr>
        <w:t xml:space="preserve">Appears after the article listing. Directs the reader toward Katarina's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2"/>
              <w:left w:val="single" w:color="1ABC9C" w:sz="8"/>
              <w:bottom w:val="single" w:color="E0E0E0" w:sz="2"/>
              <w:right w:val="single" w:color="E0E0E0" w:sz="2"/>
            </w:tcBorders>
            <w:shd w:fill="F5F7FA" w:val="clear"/>
            <w:tcMar>
              <w:top w:type="dxa" w:w="200"/>
              <w:left w:type="dxa" w:w="240"/>
              <w:bottom w:type="dxa" w:w="200"/>
              <w:right w:type="dxa" w:w="240"/>
            </w:tcMar>
          </w:tcPr>
          <w:p>
            <w:pPr>
              <w:spacing w:after="60" w:before="60"/>
            </w:pPr>
            <w:r>
              <w:rPr>
                <w:rFonts w:ascii="Arial" w:cs="Arial" w:eastAsia="Arial" w:hAnsi="Arial"/>
                <w:b/>
                <w:bCs/>
                <w:color w:val="1ABC9C"/>
                <w:sz w:val="18"/>
                <w:szCs w:val="18"/>
              </w:rPr>
              <w:t xml:space="preserve">CTA — Notebook bottom CTA</w:t>
            </w:r>
          </w:p>
          <w:p>
            <w:pPr>
              <w:spacing w:after="80" w:before="40"/>
            </w:pPr>
            <w:r>
              <w:rPr>
                <w:rFonts w:ascii="Arial" w:cs="Arial" w:eastAsia="Arial" w:hAnsi="Arial"/>
                <w:color w:val="333333"/>
                <w:sz w:val="20"/>
                <w:szCs w:val="20"/>
              </w:rPr>
              <w:t xml:space="preserve">Bridges the Notebook page to the Work page. Placed at the bottom of the article listing after the reader has engaged with the writing.</w:t>
            </w:r>
          </w:p>
          <w:p>
            <w:pPr>
              <w:spacing w:after="60" w:before="40"/>
            </w:pPr>
            <w:r>
              <w:rPr>
                <w:rFonts w:ascii="Arial" w:cs="Arial" w:eastAsia="Arial" w:hAnsi="Arial"/>
                <w:b/>
                <w:bCs/>
                <w:color w:val="1a1a2e"/>
                <w:sz w:val="20"/>
                <w:szCs w:val="20"/>
              </w:rPr>
              <w:t xml:space="preserve">Button label: "See my work →"</w:t>
            </w:r>
          </w:p>
        </w:tc>
      </w:tr>
    </w:tbl>
    <w:p>
      <w:pPr>
        <w:spacing w:after="120" w:before="120"/>
      </w:pPr>
      <w:r>
        <w:t xml:space="preserve"/>
      </w:r>
    </w:p>
    <w:p>
      <w:pPr>
        <w:spacing w:after="60" w:before="200"/>
      </w:pPr>
      <w:r>
        <w:rPr>
          <w:rFonts w:ascii="Arial" w:cs="Arial" w:eastAsia="Arial" w:hAnsi="Arial"/>
          <w:b/>
          <w:bCs/>
          <w:color w:val="666666"/>
          <w:spacing w:val="40"/>
          <w:sz w:val="18"/>
          <w:szCs w:val="18"/>
        </w:rPr>
        <w:t xml:space="preserve">CTA 3 — BOTTOM OF INDIVIDUAL ARTICLE PAGE</w:t>
      </w:r>
    </w:p>
    <w:p>
      <w:pPr>
        <w:spacing w:after="120" w:before="60"/>
      </w:pPr>
      <w:r>
        <w:rPr>
          <w:rFonts w:ascii="Arial" w:cs="Arial" w:eastAsia="Arial" w:hAnsi="Arial"/>
          <w:i/>
          <w:iCs/>
          <w:color w:val="666666"/>
          <w:sz w:val="18"/>
          <w:szCs w:val="18"/>
        </w:rPr>
        <w:t xml:space="preserve">Appears at the end of each article. Two options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2"/>
              <w:left w:val="single" w:color="1ABC9C" w:sz="8"/>
              <w:bottom w:val="single" w:color="E0E0E0" w:sz="2"/>
              <w:right w:val="single" w:color="E0E0E0" w:sz="2"/>
            </w:tcBorders>
            <w:shd w:fill="F5F7FA" w:val="clear"/>
            <w:tcMar>
              <w:top w:type="dxa" w:w="200"/>
              <w:left w:type="dxa" w:w="240"/>
              <w:bottom w:type="dxa" w:w="200"/>
              <w:right w:type="dxa" w:w="240"/>
            </w:tcMar>
          </w:tcPr>
          <w:p>
            <w:pPr>
              <w:spacing w:after="60" w:before="60"/>
            </w:pPr>
            <w:r>
              <w:rPr>
                <w:rFonts w:ascii="Arial" w:cs="Arial" w:eastAsia="Arial" w:hAnsi="Arial"/>
                <w:b/>
                <w:bCs/>
                <w:color w:val="1ABC9C"/>
                <w:sz w:val="18"/>
                <w:szCs w:val="18"/>
              </w:rPr>
              <w:t xml:space="preserve">CTA — Article end — Option A</w:t>
            </w:r>
          </w:p>
          <w:p>
            <w:pPr>
              <w:spacing w:after="80" w:before="40"/>
            </w:pPr>
            <w:r>
              <w:rPr>
                <w:rFonts w:ascii="Arial" w:cs="Arial" w:eastAsia="Arial" w:hAnsi="Arial"/>
                <w:color w:val="333333"/>
                <w:sz w:val="20"/>
                <w:szCs w:val="20"/>
              </w:rPr>
              <w:t xml:space="preserve">Primary CTA at the end of each article. Directs engaged readers to the Work / case studies page.</w:t>
            </w:r>
          </w:p>
          <w:p>
            <w:pPr>
              <w:spacing w:after="60" w:before="40"/>
            </w:pPr>
            <w:r>
              <w:rPr>
                <w:rFonts w:ascii="Arial" w:cs="Arial" w:eastAsia="Arial" w:hAnsi="Arial"/>
                <w:b/>
                <w:bCs/>
                <w:color w:val="1a1a2e"/>
                <w:sz w:val="20"/>
                <w:szCs w:val="20"/>
              </w:rPr>
              <w:t xml:space="preserve">Button label: "See my work →"</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2"/>
              <w:left w:val="single" w:color="1ABC9C" w:sz="8"/>
              <w:bottom w:val="single" w:color="E0E0E0" w:sz="2"/>
              <w:right w:val="single" w:color="E0E0E0" w:sz="2"/>
            </w:tcBorders>
            <w:shd w:fill="F5F7FA" w:val="clear"/>
            <w:tcMar>
              <w:top w:type="dxa" w:w="200"/>
              <w:left w:type="dxa" w:w="240"/>
              <w:bottom w:type="dxa" w:w="200"/>
              <w:right w:type="dxa" w:w="240"/>
            </w:tcMar>
          </w:tcPr>
          <w:p>
            <w:pPr>
              <w:spacing w:after="60" w:before="60"/>
            </w:pPr>
            <w:r>
              <w:rPr>
                <w:rFonts w:ascii="Arial" w:cs="Arial" w:eastAsia="Arial" w:hAnsi="Arial"/>
                <w:b/>
                <w:bCs/>
                <w:color w:val="1ABC9C"/>
                <w:sz w:val="18"/>
                <w:szCs w:val="18"/>
              </w:rPr>
              <w:t xml:space="preserve">CTA — Article end — Option B</w:t>
            </w:r>
          </w:p>
          <w:p>
            <w:pPr>
              <w:spacing w:after="80" w:before="40"/>
            </w:pPr>
            <w:r>
              <w:rPr>
                <w:rFonts w:ascii="Arial" w:cs="Arial" w:eastAsia="Arial" w:hAnsi="Arial"/>
                <w:color w:val="333333"/>
                <w:sz w:val="20"/>
                <w:szCs w:val="20"/>
              </w:rPr>
              <w:t xml:space="preserve">Secondary CTA at the end of each article. Directs readers to Katarina's LinkedIn profile for connection or conversation.</w:t>
            </w:r>
          </w:p>
          <w:p>
            <w:pPr>
              <w:spacing w:after="60" w:before="40"/>
            </w:pPr>
            <w:r>
              <w:rPr>
                <w:rFonts w:ascii="Arial" w:cs="Arial" w:eastAsia="Arial" w:hAnsi="Arial"/>
                <w:b/>
                <w:bCs/>
                <w:color w:val="1a1a2e"/>
                <w:sz w:val="20"/>
                <w:szCs w:val="20"/>
              </w:rPr>
              <w:t xml:space="preserve">Button label: "Connect on LinkedIn →"</w:t>
            </w:r>
          </w:p>
        </w:tc>
      </w:tr>
    </w:tbl>
    <w:p>
      <w:pPr>
        <w:pBdr>
          <w:bottom w:val="single" w:color="E0E0E0" w:sz="4"/>
        </w:pBdr>
        <w:spacing w:after="240" w:before="240"/>
      </w:pPr>
      <w:r>
        <w:t xml:space="preserve"/>
      </w:r>
    </w:p>
    <w:p>
      <w:pPr>
        <w:pStyle w:val="Heading1"/>
        <w:spacing w:after="160" w:before="480"/>
      </w:pPr>
      <w:r>
        <w:rPr>
          <w:rFonts w:ascii="Arial" w:cs="Arial" w:eastAsia="Arial" w:hAnsi="Arial"/>
          <w:b/>
          <w:bCs/>
          <w:color w:val="1a1a2e"/>
          <w:sz w:val="36"/>
          <w:szCs w:val="36"/>
        </w:rPr>
        <w:t xml:space="preserve">Future Content — Planning Note</w:t>
      </w:r>
    </w:p>
    <w:p>
      <w:pPr>
        <w:spacing w:after="120" w:before="60"/>
      </w:pPr>
      <w:r>
        <w:rPr>
          <w:rFonts w:ascii="Arial" w:cs="Arial" w:eastAsia="Arial" w:hAnsi="Arial"/>
          <w:i/>
          <w:iCs/>
          <w:color w:val="666666"/>
          <w:sz w:val="18"/>
          <w:szCs w:val="18"/>
        </w:rPr>
        <w:t xml:space="preserve">The Notebook will grow over time. Claude Code should build the page to accommodate multiple articles without redesign. The index view should support at least 6–8 article cards before pagination is needed.</w:t>
      </w:r>
    </w:p>
    <w:p>
      <w:pPr>
        <w:spacing w:after="120" w:before="60"/>
      </w:pPr>
      <w:r>
        <w:rPr>
          <w:rFonts w:ascii="Arial" w:cs="Arial" w:eastAsia="Arial" w:hAnsi="Arial"/>
          <w:i/>
          <w:iCs/>
          <w:color w:val="666666"/>
          <w:sz w:val="18"/>
          <w:szCs w:val="18"/>
        </w:rPr>
        <w:t xml:space="preserve">Future articles will follow the same structure: original writing, proofread only, clearly categorised. No AI-generated content will be published in this section.</w:t>
      </w:r>
    </w:p>
    <w:p>
      <w:pPr>
        <w:pBdr>
          <w:bottom w:val="single" w:color="E0E0E0" w:sz="4"/>
        </w:pBdr>
        <w:spacing w:after="240" w:before="240"/>
      </w:pPr>
      <w:r>
        <w:t xml:space="preserve"/>
      </w:r>
    </w:p>
    <w:p>
      <w:pPr>
        <w:pStyle w:val="Heading1"/>
        <w:spacing w:after="160" w:before="480"/>
      </w:pPr>
      <w:r>
        <w:rPr>
          <w:rFonts w:ascii="Arial" w:cs="Arial" w:eastAsia="Arial" w:hAnsi="Arial"/>
          <w:b/>
          <w:bCs/>
          <w:color w:val="1a1a2e"/>
          <w:sz w:val="36"/>
          <w:szCs w:val="36"/>
        </w:rPr>
        <w:t xml:space="preserve">Global Elements — Reminder</w:t>
      </w:r>
    </w:p>
    <w:p>
      <w:pPr>
        <w:spacing w:after="120" w:before="60"/>
      </w:pPr>
      <w:r>
        <w:rPr>
          <w:rFonts w:ascii="Arial" w:cs="Arial" w:eastAsia="Arial" w:hAnsi="Arial"/>
          <w:i/>
          <w:iCs/>
          <w:color w:val="666666"/>
          <w:sz w:val="18"/>
          <w:szCs w:val="18"/>
        </w:rPr>
        <w:t xml:space="preserve">These apply across the whole site including the Notebook page.</w:t>
      </w:r>
    </w:p>
    <w:p>
      <w:pPr>
        <w:spacing w:after="160" w:before="80"/>
      </w:pPr>
      <w:r>
        <w:rPr>
          <w:rFonts w:ascii="Arial" w:cs="Arial" w:eastAsia="Arial" w:hAnsi="Arial"/>
          <w:color w:val="333333"/>
          <w:sz w:val="22"/>
          <w:szCs w:val="22"/>
        </w:rPr>
        <w:t xml:space="preserve">Name &amp; title: Katarina Riesgo Stropkova — Research-led Product Designer</w:t>
      </w:r>
    </w:p>
    <w:p>
      <w:pPr>
        <w:spacing w:after="160" w:before="80"/>
      </w:pPr>
      <w:r>
        <w:rPr>
          <w:rFonts w:ascii="Arial" w:cs="Arial" w:eastAsia="Arial" w:hAnsi="Arial"/>
          <w:color w:val="333333"/>
          <w:sz w:val="22"/>
          <w:szCs w:val="22"/>
        </w:rPr>
        <w:t xml:space="preserve">Navigation: Home — Work — About — Notebook</w:t>
      </w:r>
    </w:p>
    <w:p>
      <w:pPr>
        <w:spacing w:after="160" w:before="80"/>
      </w:pPr>
      <w:r>
        <w:rPr>
          <w:rFonts w:ascii="Arial" w:cs="Arial" w:eastAsia="Arial" w:hAnsi="Arial"/>
          <w:color w:val="333333"/>
          <w:sz w:val="22"/>
          <w:szCs w:val="22"/>
        </w:rPr>
        <w:t xml:space="preserve">Footer tagline: Designed by a researcher. Built with curiosity.</w:t>
      </w:r>
    </w:p>
    <w:p>
      <w:pPr>
        <w:spacing w:after="160" w:before="80"/>
      </w:pPr>
      <w:r>
        <w:rPr>
          <w:rFonts w:ascii="Arial" w:cs="Arial" w:eastAsia="Arial" w:hAnsi="Arial"/>
          <w:color w:val="333333"/>
          <w:sz w:val="22"/>
          <w:szCs w:val="22"/>
        </w:rPr>
        <w:t xml:space="preserve">Contact: Visible email (with copy option) + LinkedIn link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2026-05-11T08:38:28.485Z</dcterms:created>
  <dcterms:modified xsi:type="dcterms:W3CDTF">2026-05-11T08:38:28.499Z</dcterms:modified>
</cp:coreProperties>
</file>

<file path=docProps/custom.xml><?xml version="1.0" encoding="utf-8"?>
<Properties xmlns="http://schemas.openxmlformats.org/officeDocument/2006/custom-properties" xmlns:vt="http://schemas.openxmlformats.org/officeDocument/2006/docPropsVTypes"/>
</file>