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C2B3A"/>
          <w:sz w:val="44"/>
          <w:szCs w:val="44"/>
        </w:rPr>
        <w:t xml:space="preserve">Design Handoff Note</w:t>
      </w:r>
    </w:p>
    <w:p>
      <w:pPr>
        <w:spacing w:after="60" w:before="0"/>
      </w:pPr>
      <w:r>
        <w:rPr>
          <w:rFonts w:ascii="Arial" w:cs="Arial" w:eastAsia="Arial" w:hAnsi="Arial"/>
          <w:i/>
          <w:iCs/>
          <w:color w:val="2BA5A5"/>
          <w:sz w:val="24"/>
          <w:szCs w:val="24"/>
        </w:rPr>
        <w:t xml:space="preserve">Homepage Stats Strip — Middle Item Replacement</w:t>
      </w:r>
    </w:p>
    <w:p>
      <w:pPr>
        <w:spacing w:after="0" w:before="0"/>
      </w:pPr>
      <w:r>
        <w:rPr>
          <w:rFonts w:ascii="Arial" w:cs="Arial" w:eastAsia="Arial" w:hAnsi="Arial"/>
          <w:color w:val="6B7A8D"/>
          <w:sz w:val="19"/>
          <w:szCs w:val="19"/>
        </w:rPr>
        <w:t xml:space="preserve">Katarina Riesgo Stropkova — Portfolio Website</w:t>
      </w:r>
    </w:p>
    <w:p>
      <w:pPr>
        <w:pBdr>
          <w:bottom w:val="single" w:color="CCCCCC" w:sz="2" w:space="1"/>
        </w:pBdr>
        <w:spacing w:after="280" w:before="280"/>
      </w:pPr>
      <w:r>
        <w:t xml:space="preserve"/>
      </w:r>
    </w:p>
    <w:p>
      <w:pPr>
        <w:spacing w:after="120" w:before="400"/>
      </w:pPr>
      <w:r>
        <w:rPr>
          <w:rFonts w:ascii="Arial" w:cs="Arial" w:eastAsia="Arial" w:hAnsi="Arial"/>
          <w:b/>
          <w:bCs/>
          <w:color w:val="2BA5A5"/>
          <w:spacing w:val="40"/>
          <w:sz w:val="16"/>
          <w:szCs w:val="16"/>
        </w:rPr>
        <w:t xml:space="preserve">CONTEXT</w:t>
      </w:r>
    </w:p>
    <w:p>
      <w:pPr>
        <w:spacing w:after="140" w:before="60"/>
      </w:pPr>
      <w:r>
        <w:rPr>
          <w:rFonts w:ascii="Arial" w:cs="Arial" w:eastAsia="Arial" w:hAnsi="Arial"/>
          <w:b w:val="false"/>
          <w:bCs w:val="false"/>
          <w:i w:val="false"/>
          <w:iCs w:val="false"/>
          <w:color w:val="1A1A1A"/>
          <w:sz w:val="21"/>
          <w:szCs w:val="21"/>
        </w:rPr>
        <w:t xml:space="preserve">The homepage stats strip currently contains three items communicating the breadth and depth of UX research experience. The middle item — 3 Continents / Fieldwork including in-home ethnographic studies in the US — has been identified as misaligned with the portfolio's transition narrative.</w:t>
      </w:r>
    </w:p>
    <w:p>
      <w:pPr>
        <w:spacing w:after="140" w:before="60"/>
      </w:pPr>
      <w:r>
        <w:rPr>
          <w:rFonts w:ascii="Arial" w:cs="Arial" w:eastAsia="Arial" w:hAnsi="Arial"/>
          <w:b w:val="false"/>
          <w:bCs w:val="false"/>
          <w:i w:val="false"/>
          <w:iCs w:val="false"/>
          <w:color w:val="1A1A1A"/>
          <w:sz w:val="21"/>
          <w:szCs w:val="21"/>
        </w:rPr>
        <w:t xml:space="preserve">While geographically impressive, it reinforces a research identity rather than signalling movement toward product design. This note documents the decision made, the replacement content, and the implementation details.</w:t>
      </w:r>
    </w:p>
    <w:p>
      <w:pPr>
        <w:spacing w:after="80" w:before="80"/>
      </w:pPr>
      <w:r>
        <w:t xml:space="preserve"/>
      </w:r>
    </w:p>
    <w:p>
      <w:pPr>
        <w:spacing w:after="120" w:before="400"/>
      </w:pPr>
      <w:r>
        <w:rPr>
          <w:rFonts w:ascii="Arial" w:cs="Arial" w:eastAsia="Arial" w:hAnsi="Arial"/>
          <w:b/>
          <w:bCs/>
          <w:color w:val="2BA5A5"/>
          <w:spacing w:val="40"/>
          <w:sz w:val="16"/>
          <w:szCs w:val="16"/>
        </w:rPr>
        <w:t xml:space="preserve">THE DECISION</w:t>
      </w:r>
    </w:p>
    <w:p>
      <w:pPr>
        <w:spacing w:after="160" w:before="120"/>
      </w:pPr>
      <w:r>
        <w:rPr>
          <w:rFonts w:ascii="Arial" w:cs="Arial" w:eastAsia="Arial" w:hAnsi="Arial"/>
          <w:b/>
          <w:bCs/>
          <w:color w:val="1A1A1A"/>
          <w:sz w:val="28"/>
          <w:szCs w:val="28"/>
        </w:rPr>
        <w:t xml:space="preserve">Replace the middle strip item</w:t>
      </w:r>
    </w:p>
    <w:p>
      <w:pPr>
        <w:spacing w:after="140" w:before="60"/>
      </w:pPr>
      <w:r>
        <w:rPr>
          <w:rFonts w:ascii="Arial" w:cs="Arial" w:eastAsia="Arial" w:hAnsi="Arial"/>
          <w:b w:val="false"/>
          <w:bCs w:val="false"/>
          <w:i w:val="false"/>
          <w:iCs w:val="false"/>
          <w:color w:val="1A1A1A"/>
          <w:sz w:val="21"/>
          <w:szCs w:val="21"/>
        </w:rPr>
        <w:t xml:space="preserve">After reviewing the options, the decision was made to replace the continents item with a direct reference to the one shipped product in the portfolio — the Asociación Cultural Checa de Galicia website. This item follows the same visual anatomy as the existing two items and shifts the strip's overall reading from a research credentials list to a progression narrative.</w:t>
      </w:r>
    </w:p>
    <w:p>
      <w:pPr>
        <w:spacing w:after="4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A5A5" w:sz="4"/>
              <w:left w:val="single" w:color="2BA5A5" w:sz="18"/>
              <w:bottom w:val="single" w:color="CCCCCC" w:sz="1"/>
              <w:right w:val="single" w:color="CCCCCC" w:sz="1"/>
            </w:tcBorders>
            <w:shd w:fill="F4FBFB" w:val="clear"/>
            <w:tcMar>
              <w:top w:type="dxa" w:w="180"/>
              <w:left w:type="dxa" w:w="220"/>
              <w:bottom w:type="dxa" w:w="180"/>
              <w:right w:type="dxa" w:w="220"/>
            </w:tcMar>
          </w:tcPr>
          <w:p>
            <w:pPr>
              <w:spacing w:after="80" w:before="0"/>
            </w:pPr>
            <w:r>
              <w:rPr>
                <w:rFonts w:ascii="Arial" w:cs="Arial" w:eastAsia="Arial" w:hAnsi="Arial"/>
                <w:b/>
                <w:bCs/>
                <w:color w:val="2BA5A5"/>
                <w:sz w:val="20"/>
                <w:szCs w:val="20"/>
              </w:rPr>
              <w:t xml:space="preserve">Why this matters strategically</w:t>
            </w:r>
          </w:p>
          <w:p>
            <w:pPr>
              <w:spacing w:after="0" w:before="0"/>
            </w:pPr>
            <w:r>
              <w:rPr>
                <w:rFonts w:ascii="Arial" w:cs="Arial" w:eastAsia="Arial" w:hAnsi="Arial"/>
                <w:color w:val="1A1A1A"/>
                <w:sz w:val="20"/>
                <w:szCs w:val="20"/>
              </w:rPr>
              <w:t xml:space="preserve">A hiring manager scanning the strip should finish with a question forming — not just 'experienced researcher' but 'researcher who has shipped something.' The new item answers the question design roles are actually asking: has she made something real?</w:t>
            </w:r>
          </w:p>
        </w:tc>
      </w:tr>
    </w:tbl>
    <w:p>
      <w:pPr>
        <w:spacing w:after="80" w:before="200"/>
      </w:pPr>
      <w:r>
        <w:t xml:space="preserve"/>
      </w:r>
    </w:p>
    <w:p>
      <w:pPr>
        <w:spacing w:after="120" w:before="400"/>
      </w:pPr>
      <w:r>
        <w:rPr>
          <w:rFonts w:ascii="Arial" w:cs="Arial" w:eastAsia="Arial" w:hAnsi="Arial"/>
          <w:b/>
          <w:bCs/>
          <w:color w:val="2BA5A5"/>
          <w:spacing w:val="40"/>
          <w:sz w:val="16"/>
          <w:szCs w:val="16"/>
        </w:rPr>
        <w:t xml:space="preserve">STRIP — FINAL STATE</w:t>
      </w:r>
    </w:p>
    <w:p>
      <w:pPr>
        <w:spacing w:after="140" w:before="60"/>
      </w:pPr>
      <w:r>
        <w:rPr>
          <w:rFonts w:ascii="Arial" w:cs="Arial" w:eastAsia="Arial" w:hAnsi="Arial"/>
          <w:b w:val="false"/>
          <w:bCs w:val="false"/>
          <w:i w:val="false"/>
          <w:iCs w:val="false"/>
          <w:color w:val="1A1A1A"/>
          <w:sz w:val="21"/>
          <w:szCs w:val="21"/>
        </w:rPr>
        <w:t xml:space="preserve">The three items follow the same visual pattern: large token (number or abbreviation) → category label → one-line descriptor. All three items and their colour assignments are documented below.</w:t>
      </w:r>
    </w:p>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
        <w:gridCol w:w="7360"/>
      </w:tblGrid>
      <w:tr>
        <w:tc>
          <w:tcPr>
            <w:tcW w:type="dxa" w:w="1800"/>
            <w:tcBorders>
              <w:top w:val="none" w:color="FFFFFF" w:sz="0"/>
              <w:left w:val="none" w:color="FFFFFF" w:sz="0"/>
              <w:bottom w:val="none" w:color="FFFFFF" w:sz="0"/>
              <w:right w:val="none" w:color="FFFFFF" w:sz="0"/>
            </w:tcBorders>
            <w:shd w:fill="F5F5F5" w:val="clear"/>
            <w:tcMar>
              <w:top w:type="dxa" w:w="140"/>
              <w:left w:type="dxa" w:w="200"/>
              <w:bottom w:type="dxa" w:w="140"/>
              <w:right w:type="dxa" w:w="200"/>
            </w:tcMar>
          </w:tcPr>
          <w:p>
            <w:r>
              <w:rPr>
                <w:rFonts w:ascii="Arial" w:cs="Arial" w:eastAsia="Arial" w:hAnsi="Arial"/>
                <w:b/>
                <w:bCs/>
                <w:color w:val="1C2B3A"/>
                <w:sz w:val="56"/>
                <w:szCs w:val="56"/>
              </w:rPr>
              <w:t xml:space="preserve">7</w:t>
            </w:r>
          </w:p>
          <w:p>
            <w:pPr>
              <w:spacing w:before="40"/>
            </w:pPr>
            <w:r>
              <w:rPr>
                <w:rFonts w:ascii="Arial" w:cs="Arial" w:eastAsia="Arial" w:hAnsi="Arial"/>
                <w:b/>
                <w:bCs/>
                <w:color w:val="2BA5A5"/>
                <w:spacing w:val="30"/>
                <w:sz w:val="15"/>
                <w:szCs w:val="15"/>
              </w:rPr>
              <w:t xml:space="preserve">YRS</w:t>
            </w:r>
          </w:p>
        </w:tc>
        <w:tc>
          <w:tcPr>
            <w:tcW w:type="dxa" w:w="200"/>
            <w:tcBorders>
              <w:top w:val="none" w:color="FFFFFF" w:sz="0"/>
              <w:left w:val="none" w:color="FFFFFF" w:sz="0"/>
              <w:bottom w:val="none" w:color="FFFFFF" w:sz="0"/>
              <w:right w:val="none" w:color="FFFFFF" w:sz="0"/>
            </w:tcBorders>
          </w:tcPr>
          <w:p>
            <w:r>
              <w:t xml:space="preserve"/>
            </w:r>
          </w:p>
        </w:tc>
        <w:tc>
          <w:tcPr>
            <w:tcW w:type="dxa" w:w="7360"/>
            <w:tcBorders>
              <w:top w:val="none" w:color="FFFFFF" w:sz="0"/>
              <w:left w:val="none" w:color="FFFFFF" w:sz="0"/>
              <w:bottom w:val="none" w:color="FFFFFF" w:sz="0"/>
              <w:right w:val="none" w:color="FFFFFF" w:sz="0"/>
            </w:tcBorders>
            <w:tcMar>
              <w:top w:type="dxa" w:w="140"/>
              <w:left w:type="dxa" w:w="200"/>
              <w:bottom w:type="dxa" w:w="140"/>
              <w:right w:type="dxa" w:w="0"/>
            </w:tcMar>
            <w:vAlign w:val="center"/>
          </w:tcPr>
          <w:p>
            <w:r>
              <w:rPr>
                <w:rFonts w:ascii="Arial" w:cs="Arial" w:eastAsia="Arial" w:hAnsi="Arial"/>
                <w:color w:val="1A1A1A"/>
                <w:sz w:val="21"/>
                <w:szCs w:val="21"/>
              </w:rPr>
              <w:t xml:space="preserve">UX research across consumer cybersecurity and enterprise ERP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
        <w:gridCol w:w="7360"/>
      </w:tblGrid>
      <w:tr>
        <w:tc>
          <w:tcPr>
            <w:tcW w:type="dxa" w:w="1800"/>
            <w:tcBorders>
              <w:top w:val="none" w:color="FFFFFF" w:sz="0"/>
              <w:left w:val="none" w:color="FFFFFF" w:sz="0"/>
              <w:bottom w:val="none" w:color="FFFFFF" w:sz="0"/>
              <w:right w:val="none" w:color="FFFFFF" w:sz="0"/>
            </w:tcBorders>
            <w:shd w:fill="F5F5F5" w:val="clear"/>
            <w:tcMar>
              <w:top w:type="dxa" w:w="140"/>
              <w:left w:type="dxa" w:w="200"/>
              <w:bottom w:type="dxa" w:w="140"/>
              <w:right w:type="dxa" w:w="200"/>
            </w:tcMar>
          </w:tcPr>
          <w:p>
            <w:r>
              <w:rPr>
                <w:rFonts w:ascii="Arial" w:cs="Arial" w:eastAsia="Arial" w:hAnsi="Arial"/>
                <w:b/>
                <w:bCs/>
                <w:color w:val="2BA5A5"/>
                <w:sz w:val="56"/>
                <w:szCs w:val="56"/>
              </w:rPr>
              <w:t xml:space="preserve">1</w:t>
            </w:r>
          </w:p>
          <w:p>
            <w:pPr>
              <w:spacing w:before="40"/>
            </w:pPr>
            <w:r>
              <w:rPr>
                <w:rFonts w:ascii="Arial" w:cs="Arial" w:eastAsia="Arial" w:hAnsi="Arial"/>
                <w:b/>
                <w:bCs/>
                <w:color w:val="2BA5A5"/>
                <w:spacing w:val="30"/>
                <w:sz w:val="15"/>
                <w:szCs w:val="15"/>
              </w:rPr>
              <w:t xml:space="preserve">SHIPPED PRODUCT</w:t>
            </w:r>
          </w:p>
        </w:tc>
        <w:tc>
          <w:tcPr>
            <w:tcW w:type="dxa" w:w="200"/>
            <w:tcBorders>
              <w:top w:val="none" w:color="FFFFFF" w:sz="0"/>
              <w:left w:val="none" w:color="FFFFFF" w:sz="0"/>
              <w:bottom w:val="none" w:color="FFFFFF" w:sz="0"/>
              <w:right w:val="none" w:color="FFFFFF" w:sz="0"/>
            </w:tcBorders>
          </w:tcPr>
          <w:p>
            <w:r>
              <w:t xml:space="preserve"/>
            </w:r>
          </w:p>
        </w:tc>
        <w:tc>
          <w:tcPr>
            <w:tcW w:type="dxa" w:w="7360"/>
            <w:tcBorders>
              <w:top w:val="none" w:color="FFFFFF" w:sz="0"/>
              <w:left w:val="none" w:color="FFFFFF" w:sz="0"/>
              <w:bottom w:val="none" w:color="FFFFFF" w:sz="0"/>
              <w:right w:val="none" w:color="FFFFFF" w:sz="0"/>
            </w:tcBorders>
            <w:tcMar>
              <w:top w:type="dxa" w:w="140"/>
              <w:left w:type="dxa" w:w="200"/>
              <w:bottom w:type="dxa" w:w="140"/>
              <w:right w:type="dxa" w:w="0"/>
            </w:tcMar>
            <w:vAlign w:val="center"/>
          </w:tcPr>
          <w:p>
            <w:r>
              <w:rPr>
                <w:rFonts w:ascii="Arial" w:cs="Arial" w:eastAsia="Arial" w:hAnsi="Arial"/>
                <w:color w:val="1A1A1A"/>
                <w:sz w:val="21"/>
                <w:szCs w:val="21"/>
              </w:rPr>
              <w:t xml:space="preserve">Designed, built and launched — solo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
        <w:gridCol w:w="7360"/>
      </w:tblGrid>
      <w:tr>
        <w:tc>
          <w:tcPr>
            <w:tcW w:type="dxa" w:w="1800"/>
            <w:tcBorders>
              <w:top w:val="none" w:color="FFFFFF" w:sz="0"/>
              <w:left w:val="none" w:color="FFFFFF" w:sz="0"/>
              <w:bottom w:val="none" w:color="FFFFFF" w:sz="0"/>
              <w:right w:val="none" w:color="FFFFFF" w:sz="0"/>
            </w:tcBorders>
            <w:shd w:fill="F5F5F5" w:val="clear"/>
            <w:tcMar>
              <w:top w:type="dxa" w:w="140"/>
              <w:left w:type="dxa" w:w="200"/>
              <w:bottom w:type="dxa" w:w="140"/>
              <w:right w:type="dxa" w:w="200"/>
            </w:tcMar>
          </w:tcPr>
          <w:p>
            <w:r>
              <w:rPr>
                <w:rFonts w:ascii="Arial" w:cs="Arial" w:eastAsia="Arial" w:hAnsi="Arial"/>
                <w:b/>
                <w:bCs/>
                <w:color w:val="D4797A"/>
                <w:sz w:val="56"/>
                <w:szCs w:val="56"/>
              </w:rPr>
              <w:t xml:space="preserve">MA</w:t>
            </w:r>
          </w:p>
          <w:p>
            <w:pPr>
              <w:spacing w:before="40"/>
            </w:pPr>
            <w:r>
              <w:rPr>
                <w:rFonts w:ascii="Arial" w:cs="Arial" w:eastAsia="Arial" w:hAnsi="Arial"/>
                <w:b/>
                <w:bCs/>
                <w:color w:val="D4797A"/>
                <w:spacing w:val="30"/>
                <w:sz w:val="15"/>
                <w:szCs w:val="15"/>
              </w:rPr>
              <w:t xml:space="preserve">COGNITION &amp; COMMUNICATION</w:t>
            </w:r>
          </w:p>
        </w:tc>
        <w:tc>
          <w:tcPr>
            <w:tcW w:type="dxa" w:w="200"/>
            <w:tcBorders>
              <w:top w:val="none" w:color="FFFFFF" w:sz="0"/>
              <w:left w:val="none" w:color="FFFFFF" w:sz="0"/>
              <w:bottom w:val="none" w:color="FFFFFF" w:sz="0"/>
              <w:right w:val="none" w:color="FFFFFF" w:sz="0"/>
            </w:tcBorders>
          </w:tcPr>
          <w:p>
            <w:r>
              <w:t xml:space="preserve"/>
            </w:r>
          </w:p>
        </w:tc>
        <w:tc>
          <w:tcPr>
            <w:tcW w:type="dxa" w:w="7360"/>
            <w:tcBorders>
              <w:top w:val="none" w:color="FFFFFF" w:sz="0"/>
              <w:left w:val="none" w:color="FFFFFF" w:sz="0"/>
              <w:bottom w:val="none" w:color="FFFFFF" w:sz="0"/>
              <w:right w:val="none" w:color="FFFFFF" w:sz="0"/>
            </w:tcBorders>
            <w:tcMar>
              <w:top w:type="dxa" w:w="140"/>
              <w:left w:type="dxa" w:w="200"/>
              <w:bottom w:type="dxa" w:w="140"/>
              <w:right w:type="dxa" w:w="0"/>
            </w:tcMar>
            <w:vAlign w:val="center"/>
          </w:tcPr>
          <w:p>
            <w:r>
              <w:rPr>
                <w:rFonts w:ascii="Arial" w:cs="Arial" w:eastAsia="Arial" w:hAnsi="Arial"/>
                <w:color w:val="1A1A1A"/>
                <w:sz w:val="21"/>
                <w:szCs w:val="21"/>
              </w:rPr>
              <w:t xml:space="preserve">University of Copenhagen</w:t>
            </w:r>
          </w:p>
        </w:tc>
      </w:tr>
    </w:tbl>
    <w:p>
      <w:pPr>
        <w:spacing w:after="80" w:before="200"/>
      </w:pPr>
      <w:r>
        <w:t xml:space="preserve"/>
      </w:r>
    </w:p>
    <w:p>
      <w:pPr>
        <w:spacing w:after="120" w:before="400"/>
      </w:pPr>
      <w:r>
        <w:rPr>
          <w:rFonts w:ascii="Arial" w:cs="Arial" w:eastAsia="Arial" w:hAnsi="Arial"/>
          <w:b/>
          <w:bCs/>
          <w:color w:val="2BA5A5"/>
          <w:spacing w:val="40"/>
          <w:sz w:val="16"/>
          <w:szCs w:val="16"/>
        </w:rPr>
        <w:t xml:space="preserve">COLOUR DECISION — THE “1” TOKEN</w:t>
      </w:r>
    </w:p>
    <w:p>
      <w:pPr>
        <w:spacing w:after="140" w:before="60"/>
      </w:pPr>
      <w:r>
        <w:rPr>
          <w:rFonts w:ascii="Arial" w:cs="Arial" w:eastAsia="Arial" w:hAnsi="Arial"/>
          <w:b w:val="false"/>
          <w:bCs w:val="false"/>
          <w:i w:val="false"/>
          <w:iCs w:val="false"/>
          <w:color w:val="1A1A1A"/>
          <w:sz w:val="21"/>
          <w:szCs w:val="21"/>
        </w:rPr>
        <w:t xml:space="preserve">The large numeral token colour carries meaning across the strip. The existing pattern is: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19"/>
                <w:szCs w:val="19"/>
              </w:rPr>
              <w:t xml:space="preserve">Token</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19"/>
                <w:szCs w:val="19"/>
              </w:rPr>
              <w:t xml:space="preserve">Colour</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19"/>
                <w:szCs w:val="19"/>
              </w:rPr>
              <w:t xml:space="preserve">Meaning</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C2B3A"/>
                <w:sz w:val="19"/>
                <w:szCs w:val="19"/>
              </w:rPr>
              <w:t xml:space="preserve">7</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C2B3A"/>
                <w:sz w:val="19"/>
                <w:szCs w:val="19"/>
              </w:rPr>
              <w:t xml:space="preserve">Deep Tide #1C2B3A</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7A8D"/>
                <w:sz w:val="19"/>
                <w:szCs w:val="19"/>
              </w:rPr>
              <w:t xml:space="preserve">Neutral anchor — years of experience</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BA5A5"/>
                <w:sz w:val="19"/>
                <w:szCs w:val="19"/>
              </w:rPr>
              <w:t xml:space="preserve">1</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2BA5A5"/>
                <w:sz w:val="19"/>
                <w:szCs w:val="19"/>
              </w:rPr>
              <w:t xml:space="preserve">Teal Intellect #2BA5A5</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7A8D"/>
                <w:sz w:val="19"/>
                <w:szCs w:val="19"/>
              </w:rPr>
              <w:t xml:space="preserve">Real-world evidence — same register as the former “3”</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D4797A"/>
                <w:sz w:val="19"/>
                <w:szCs w:val="19"/>
              </w:rPr>
              <w:t xml:space="preserve">MA</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D4797A"/>
                <w:sz w:val="19"/>
                <w:szCs w:val="19"/>
              </w:rPr>
              <w:t xml:space="preserve">Dusty Rose #D4797A</w:t>
            </w:r>
          </w:p>
        </w:tc>
        <w:tc>
          <w:tcPr>
            <w:tcW w:type="dxa" w:w="4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7A8D"/>
                <w:sz w:val="19"/>
                <w:szCs w:val="19"/>
              </w:rPr>
              <w:t xml:space="preserve">Academic credential — reserved for education</w:t>
            </w:r>
          </w:p>
        </w:tc>
      </w:tr>
    </w:tbl>
    <w:p>
      <w:pPr>
        <w:spacing w:after="80" w:before="80"/>
      </w:pPr>
      <w:r>
        <w:t xml:space="preserve"/>
      </w:r>
    </w:p>
    <w:p>
      <w:pPr>
        <w:spacing w:after="140" w:before="60"/>
      </w:pPr>
      <w:r>
        <w:rPr>
          <w:rFonts w:ascii="Arial" w:cs="Arial" w:eastAsia="Arial" w:hAnsi="Arial"/>
          <w:b w:val="false"/>
          <w:bCs w:val="false"/>
          <w:i/>
          <w:iCs/>
          <w:color w:val="6B7A8D"/>
          <w:sz w:val="21"/>
          <w:szCs w:val="21"/>
        </w:rPr>
        <w:t xml:space="preserve">Dusty Rose is explicitly excluded from the “1” token to preserve its reserved meaning for the academic credential. Teal is the correct choice.</w:t>
      </w:r>
    </w:p>
    <w:p>
      <w:pPr>
        <w:spacing w:after="80" w:before="200"/>
      </w:pPr>
      <w:r>
        <w:t xml:space="preserve"/>
      </w:r>
    </w:p>
    <w:p>
      <w:pPr>
        <w:spacing w:after="120" w:before="400"/>
      </w:pPr>
      <w:r>
        <w:rPr>
          <w:rFonts w:ascii="Arial" w:cs="Arial" w:eastAsia="Arial" w:hAnsi="Arial"/>
          <w:b/>
          <w:bCs/>
          <w:color w:val="2BA5A5"/>
          <w:spacing w:val="40"/>
          <w:sz w:val="16"/>
          <w:szCs w:val="16"/>
        </w:rPr>
        <w:t xml:space="preserve">CHANGE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19"/>
                <w:szCs w:val="19"/>
              </w:rPr>
              <w:t xml:space="preserve">Element</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19"/>
                <w:szCs w:val="19"/>
              </w:rPr>
              <w:t xml:space="preserve">Before</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19"/>
                <w:szCs w:val="19"/>
              </w:rPr>
              <w:t xml:space="preserve">After</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19"/>
                <w:szCs w:val="19"/>
              </w:rPr>
              <w:t xml:space="preserve">Reason</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19"/>
                <w:szCs w:val="19"/>
              </w:rPr>
              <w:t xml:space="preserve">Token</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D4797A"/>
                <w:sz w:val="19"/>
                <w:szCs w:val="19"/>
              </w:rPr>
              <w:t xml:space="preserve">3</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BA5A5"/>
                <w:sz w:val="19"/>
                <w:szCs w:val="19"/>
              </w:rPr>
              <w:t xml:space="preserve">1</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7A8D"/>
                <w:sz w:val="19"/>
                <w:szCs w:val="19"/>
              </w:rPr>
              <w:t xml:space="preserve">Replaced geographic count with shipped product count</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19"/>
                <w:szCs w:val="19"/>
              </w:rPr>
              <w:t xml:space="preserve">Token colour</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D4797A"/>
                <w:sz w:val="19"/>
                <w:szCs w:val="19"/>
              </w:rPr>
              <w:t xml:space="preserve">Teal</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BA5A5"/>
                <w:sz w:val="19"/>
                <w:szCs w:val="19"/>
              </w:rPr>
              <w:t xml:space="preserve">Teal</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7A8D"/>
                <w:sz w:val="19"/>
                <w:szCs w:val="19"/>
              </w:rPr>
              <w:t xml:space="preserve">Unchanged — same register as real-world evidence</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19"/>
                <w:szCs w:val="19"/>
              </w:rPr>
              <w:t xml:space="preserve">Label</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D4797A"/>
                <w:sz w:val="19"/>
                <w:szCs w:val="19"/>
              </w:rPr>
              <w:t xml:space="preserve">CONTINENTS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BA5A5"/>
                <w:sz w:val="19"/>
                <w:szCs w:val="19"/>
              </w:rPr>
              <w:t xml:space="preserve">SHIPPED PRODUCT</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7A8D"/>
                <w:sz w:val="19"/>
                <w:szCs w:val="19"/>
              </w:rPr>
              <w:t xml:space="preserve">Reframes from research scale to design output</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A1A1A"/>
                <w:sz w:val="19"/>
                <w:szCs w:val="19"/>
              </w:rPr>
              <w:t xml:space="preserve">Descriptor</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D4797A"/>
                <w:sz w:val="19"/>
                <w:szCs w:val="19"/>
              </w:rPr>
              <w:t xml:space="preserve">Fieldwork including in-home ethnographic studies in the US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2BA5A5"/>
                <w:sz w:val="19"/>
                <w:szCs w:val="19"/>
              </w:rPr>
              <w:t xml:space="preserve">Designed, built and launched — solo</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6B7A8D"/>
                <w:sz w:val="19"/>
                <w:szCs w:val="19"/>
              </w:rPr>
              <w:t xml:space="preserve">Transition-forward signal; ‘solo’ lands at end for emphasis</w:t>
            </w:r>
          </w:p>
        </w:tc>
      </w:tr>
    </w:tbl>
    <w:p>
      <w:pPr>
        <w:spacing w:after="80" w:before="200"/>
      </w:pPr>
      <w:r>
        <w:t xml:space="preserve"/>
      </w:r>
    </w:p>
    <w:p>
      <w:pPr>
        <w:spacing w:after="120" w:before="400"/>
      </w:pPr>
      <w:r>
        <w:rPr>
          <w:rFonts w:ascii="Arial" w:cs="Arial" w:eastAsia="Arial" w:hAnsi="Arial"/>
          <w:b/>
          <w:bCs/>
          <w:color w:val="2BA5A5"/>
          <w:spacing w:val="40"/>
          <w:sz w:val="16"/>
          <w:szCs w:val="16"/>
        </w:rPr>
        <w:t xml:space="preserve">NOTE FOR FUTURE ITERATION</w:t>
      </w:r>
    </w:p>
    <w:p>
      <w:pPr>
        <w:spacing w:after="140" w:before="60"/>
      </w:pPr>
      <w:r>
        <w:rPr>
          <w:rFonts w:ascii="Arial" w:cs="Arial" w:eastAsia="Arial" w:hAnsi="Arial"/>
          <w:b w:val="false"/>
          <w:bCs w:val="false"/>
          <w:i w:val="false"/>
          <w:iCs w:val="false"/>
          <w:color w:val="6B7A8D"/>
          <w:sz w:val="21"/>
          <w:szCs w:val="21"/>
        </w:rPr>
        <w:t xml:space="preserve">This item should be updated if additional shipped design projects are added to the portfolio. At that point the token can move from “1” to the actual count, and the label can remain SHIPPED PRODUCTS. The descriptor should then reference the range rather than the solo nature of the work.</w:t>
      </w:r>
    </w:p>
    <w:p>
      <w:pPr>
        <w:pBdr>
          <w:bottom w:val="single" w:color="CCCCCC" w:sz="2" w:space="1"/>
        </w:pBdr>
        <w:spacing w:after="280" w:before="280"/>
      </w:pPr>
      <w:r>
        <w:t xml:space="preserve"/>
      </w:r>
    </w:p>
    <w:p>
      <w:pPr>
        <w:spacing w:after="0" w:before="0"/>
      </w:pPr>
      <w:r>
        <w:rPr>
          <w:rFonts w:ascii="Arial" w:cs="Arial" w:eastAsia="Arial" w:hAnsi="Arial"/>
          <w:i/>
          <w:iCs/>
          <w:color w:val="6B7A8D"/>
          <w:sz w:val="17"/>
          <w:szCs w:val="17"/>
        </w:rPr>
        <w:t xml:space="preserve">Katarina Riesgo Stropkova — Portfolio Design Decisions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2026-05-14T07:23:12.516Z</dcterms:created>
  <dcterms:modified xsi:type="dcterms:W3CDTF">2026-05-14T07:23:12.533Z</dcterms:modified>
</cp:coreProperties>
</file>

<file path=docProps/custom.xml><?xml version="1.0" encoding="utf-8"?>
<Properties xmlns="http://schemas.openxmlformats.org/officeDocument/2006/custom-properties" xmlns:vt="http://schemas.openxmlformats.org/officeDocument/2006/docPropsVTypes"/>
</file>