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C7C" w:rsidRPr="006B71F2" w:rsidRDefault="00072C7C" w:rsidP="00D759B7">
      <w:pPr>
        <w:spacing w:line="360" w:lineRule="auto"/>
        <w:jc w:val="center"/>
        <w:rPr>
          <w:rFonts w:ascii="Arial" w:hAnsi="Arial"/>
          <w:sz w:val="32"/>
        </w:rPr>
      </w:pPr>
    </w:p>
    <w:p w:rsidR="00072C7C" w:rsidRPr="00691642" w:rsidRDefault="00072C7C" w:rsidP="00D759B7">
      <w:pPr>
        <w:spacing w:after="0"/>
        <w:jc w:val="center"/>
        <w:rPr>
          <w:rFonts w:ascii="Arial" w:hAnsi="Arial"/>
          <w:sz w:val="28"/>
          <w:lang w:val="el-GR"/>
        </w:rPr>
      </w:pPr>
      <w:r w:rsidRPr="00691642">
        <w:rPr>
          <w:rFonts w:ascii="Arial" w:hAnsi="Arial"/>
          <w:sz w:val="28"/>
          <w:lang w:val="el-GR"/>
        </w:rPr>
        <w:t xml:space="preserve">Σχολή Επαγγελματικής Κατάρτισης Οδηγών </w:t>
      </w:r>
    </w:p>
    <w:p w:rsidR="00072C7C" w:rsidRPr="00691642" w:rsidRDefault="00072C7C" w:rsidP="00D759B7">
      <w:pPr>
        <w:spacing w:after="0"/>
        <w:jc w:val="center"/>
        <w:rPr>
          <w:rFonts w:ascii="Arial" w:hAnsi="Arial"/>
          <w:sz w:val="28"/>
          <w:lang w:val="el-GR"/>
        </w:rPr>
      </w:pPr>
      <w:bookmarkStart w:id="0" w:name="_GoBack"/>
      <w:bookmarkEnd w:id="0"/>
      <w:r w:rsidRPr="00691642">
        <w:rPr>
          <w:rFonts w:ascii="Arial" w:hAnsi="Arial"/>
          <w:sz w:val="28"/>
          <w:lang w:val="el-GR"/>
        </w:rPr>
        <w:t>Οχημάτων Μεταφοράς Επικίνδυνων Εμπορευμάτων</w:t>
      </w:r>
    </w:p>
    <w:p w:rsidR="00072C7C" w:rsidRPr="00691642" w:rsidRDefault="00072C7C" w:rsidP="00D759B7">
      <w:pPr>
        <w:jc w:val="center"/>
        <w:rPr>
          <w:rFonts w:ascii="Arial" w:hAnsi="Arial"/>
          <w:sz w:val="24"/>
          <w:szCs w:val="24"/>
          <w:lang w:val="el-GR"/>
        </w:rPr>
      </w:pPr>
    </w:p>
    <w:p w:rsidR="00072C7C" w:rsidRPr="00691642" w:rsidRDefault="00072C7C" w:rsidP="00D759B7">
      <w:pPr>
        <w:jc w:val="center"/>
        <w:rPr>
          <w:rFonts w:ascii="Arial" w:hAnsi="Arial"/>
          <w:b/>
          <w:sz w:val="32"/>
          <w:lang w:val="el-GR"/>
        </w:rPr>
      </w:pPr>
      <w:r w:rsidRPr="00691642">
        <w:rPr>
          <w:rFonts w:ascii="Arial" w:hAnsi="Arial"/>
          <w:b/>
          <w:sz w:val="32"/>
          <w:lang w:val="el-GR"/>
        </w:rPr>
        <w:t xml:space="preserve">Διπλώματα </w:t>
      </w:r>
      <w:r w:rsidRPr="007B79DF">
        <w:rPr>
          <w:rFonts w:ascii="Arial" w:hAnsi="Arial"/>
          <w:b/>
          <w:sz w:val="32"/>
        </w:rPr>
        <w:t>ADR</w:t>
      </w:r>
    </w:p>
    <w:p w:rsidR="00072C7C" w:rsidRPr="00691642" w:rsidRDefault="00072C7C" w:rsidP="00D759B7">
      <w:pPr>
        <w:rPr>
          <w:rFonts w:ascii="Arial" w:hAnsi="Arial"/>
          <w:sz w:val="12"/>
          <w:szCs w:val="12"/>
          <w:lang w:val="el-GR"/>
        </w:rPr>
      </w:pPr>
    </w:p>
    <w:p w:rsidR="00072C7C" w:rsidRPr="00691642" w:rsidRDefault="00072C7C" w:rsidP="00D759B7">
      <w:pPr>
        <w:spacing w:after="0" w:line="360" w:lineRule="auto"/>
        <w:jc w:val="center"/>
        <w:rPr>
          <w:rFonts w:ascii="Arial" w:hAnsi="Arial"/>
          <w:b/>
          <w:sz w:val="46"/>
          <w:lang w:val="el-GR"/>
        </w:rPr>
      </w:pPr>
      <w:r w:rsidRPr="00691642">
        <w:rPr>
          <w:rFonts w:ascii="Arial" w:hAnsi="Arial"/>
          <w:b/>
          <w:sz w:val="46"/>
          <w:lang w:val="el-GR"/>
        </w:rPr>
        <w:t>Ανανεωτικό Πρόγραμμα</w:t>
      </w:r>
    </w:p>
    <w:p w:rsidR="00072C7C" w:rsidRPr="00691642" w:rsidRDefault="00072C7C" w:rsidP="00D759B7">
      <w:pPr>
        <w:spacing w:after="0"/>
        <w:jc w:val="center"/>
        <w:rPr>
          <w:rFonts w:ascii="Arial" w:hAnsi="Arial"/>
          <w:b/>
          <w:sz w:val="60"/>
          <w:lang w:val="el-GR"/>
        </w:rPr>
      </w:pPr>
      <w:r w:rsidRPr="00691642">
        <w:rPr>
          <w:rFonts w:ascii="Arial" w:hAnsi="Arial"/>
          <w:b/>
          <w:sz w:val="60"/>
          <w:lang w:val="el-GR"/>
        </w:rPr>
        <w:t>ΜΕΤΑΦΟΡΑ ΣΕ ΔΕΞΑΜΕΝΕΣ</w:t>
      </w:r>
    </w:p>
    <w:p w:rsidR="00072C7C" w:rsidRPr="006B71F2" w:rsidRDefault="00072C7C" w:rsidP="00D759B7">
      <w:pPr>
        <w:jc w:val="center"/>
        <w:rPr>
          <w:rFonts w:ascii="Arial" w:hAnsi="Arial"/>
          <w:sz w:val="30"/>
        </w:rPr>
      </w:pPr>
      <w:r w:rsidRPr="00E02285">
        <w:rPr>
          <w:rFonts w:ascii="Arial" w:hAnsi="Arial"/>
          <w:noProof/>
          <w:sz w:val="30"/>
          <w:lang w:val="el-GR" w:eastAsia="el-G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alt="Macintosh HD:Users:nikosvagiokas:Desktop:Untitled-2.jpg" style="width:399pt;height:299.25pt;visibility:visible">
            <v:imagedata r:id="rId6" o:title=""/>
          </v:shape>
        </w:pict>
      </w: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Pr="00691642" w:rsidRDefault="00072C7C" w:rsidP="00D759B7">
      <w:pPr>
        <w:spacing w:after="0"/>
        <w:jc w:val="center"/>
        <w:rPr>
          <w:rFonts w:ascii="Arial" w:hAnsi="Arial"/>
          <w:sz w:val="16"/>
          <w:lang w:val="el-GR"/>
        </w:rPr>
      </w:pPr>
    </w:p>
    <w:p w:rsidR="00072C7C" w:rsidRPr="00BE4F68" w:rsidRDefault="00072C7C">
      <w:pPr>
        <w:rPr>
          <w:sz w:val="24"/>
          <w:szCs w:val="24"/>
        </w:rPr>
      </w:pP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225"/>
        <w:gridCol w:w="63"/>
        <w:gridCol w:w="7672"/>
        <w:gridCol w:w="89"/>
        <w:gridCol w:w="959"/>
      </w:tblGrid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  <w:tcBorders>
              <w:top w:val="single" w:sz="4" w:space="0" w:color="231F20"/>
            </w:tcBorders>
          </w:tcPr>
          <w:p w:rsidR="00072C7C" w:rsidRPr="00E02285" w:rsidRDefault="00072C7C" w:rsidP="00FC1D0D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ΚΕΦΑΛΑΙΟ 1: ΔΕΞΑΜΕΝΗ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</w:t>
            </w:r>
          </w:p>
        </w:tc>
        <w:tc>
          <w:tcPr>
            <w:tcW w:w="4367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Τα καπάκια των ανθρωποθυρίδων  μπορούν  να παραμένουν  ανοικτά: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Κατά τη μεταφορά με δεξαμενή φορτωμένη 15%  του συνολικού όγκου.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Κατά τις εργασίες καθαρισμού της δεξαμενής (</w:t>
            </w:r>
            <w:r w:rsidRPr="00E02285">
              <w:rPr>
                <w:rFonts w:cs="Arial"/>
                <w:sz w:val="24"/>
                <w:szCs w:val="24"/>
              </w:rPr>
              <w:t>gasfree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).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Κατά την εκφόρτωση υπό πίεση.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</w:t>
            </w:r>
          </w:p>
        </w:tc>
        <w:tc>
          <w:tcPr>
            <w:tcW w:w="4367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βαλβίδα υγρής φάσης ενός βυτίου διαμέτρου 80</w:t>
            </w:r>
            <w:r w:rsidRPr="00E02285">
              <w:rPr>
                <w:rFonts w:cs="Arial"/>
                <w:b/>
                <w:sz w:val="24"/>
                <w:szCs w:val="24"/>
              </w:rPr>
              <w:t>mm</w:t>
            </w: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 xml:space="preserve">  που βρίσκεται στο επάνω μέρος της δεξαμενής: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Μπορεί  να παραμείνει  ανοικτή κατά την κίνηση  του οχήματος.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Πρέπει  να παραμένει  κλειστή κατά την κίνηση  του οχήματος.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Λειτουργεί κανονικά ανοικτή, όπως ένα εξάρτημα εξαερισμού.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</w:t>
            </w:r>
          </w:p>
        </w:tc>
        <w:tc>
          <w:tcPr>
            <w:tcW w:w="4367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βαλβίδα εξαερισμού ή αερισμού: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 xml:space="preserve">Είναι ένα εξάρτημα που ανοίγει σε μια πίεση μόλις 3 </w:t>
            </w:r>
            <w:r w:rsidRPr="00E02285">
              <w:rPr>
                <w:rFonts w:cs="Arial"/>
                <w:sz w:val="24"/>
                <w:szCs w:val="24"/>
              </w:rPr>
              <w:t>bar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πάντα ανοικτό.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που ανοίγει σε μια ελάχιστη πίεση.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</w:t>
            </w:r>
          </w:p>
        </w:tc>
        <w:tc>
          <w:tcPr>
            <w:tcW w:w="4367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βαλβίδα αερισμού ή εξαερισμού: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Επιτρέπει την εκφόρτωση υπό πίεση.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κανονικά τοποθετημένη  σε δεξαμενές  υπό πίεση.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00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911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κανονικά τοποθετημένη  στις ατμοσφαιρικές δεξαμενές  ή σε δεξαμενές  με εκφόρτωση βαρύτητας.</w:t>
            </w:r>
          </w:p>
        </w:tc>
        <w:tc>
          <w:tcPr>
            <w:tcW w:w="445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1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</w:t>
            </w:r>
          </w:p>
        </w:tc>
        <w:tc>
          <w:tcPr>
            <w:tcW w:w="4346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βαλβίδα εξαερισμού ή αερισμού: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1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56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που δεν επιτρέπει την ανάπτυξη υπερπίεσης.</w:t>
            </w:r>
          </w:p>
        </w:tc>
        <w:tc>
          <w:tcPr>
            <w:tcW w:w="479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1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56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που πρέπει  να είναι ανοικτό χειροκίνητα για να μπορούν  να βγουν οι ατμοί από τη δεξαμενή.</w:t>
            </w:r>
          </w:p>
        </w:tc>
        <w:tc>
          <w:tcPr>
            <w:tcW w:w="479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1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56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που χρησιμοποιείται  για να πραγματοποιηθεί  η φόρτωση σε κλειστό κύκλο.</w:t>
            </w:r>
          </w:p>
        </w:tc>
        <w:tc>
          <w:tcPr>
            <w:tcW w:w="479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Default="00072C7C">
      <w: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267"/>
        <w:gridCol w:w="7672"/>
        <w:gridCol w:w="1069"/>
      </w:tblGrid>
      <w:tr w:rsidR="00072C7C" w:rsidRPr="00691642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6</w:t>
            </w:r>
          </w:p>
        </w:tc>
        <w:tc>
          <w:tcPr>
            <w:tcW w:w="4349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βαλβίδα εξαερισμού ή αερισμού: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Λειτουργεί μόνο εάν χειρίζεται, χειροκίνητα από τον οδηγό.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Αφού λειτουργήσει,  είναι απαραίτητο να ξεμονταριστεί και να καθαριστεί.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39" w:type="pct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Κλείνει αυτόματα αφού λειτουργήσει.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7</w:t>
            </w:r>
          </w:p>
        </w:tc>
        <w:tc>
          <w:tcPr>
            <w:tcW w:w="434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Η βαλβίδα ασφαλείας: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μια βαλβίδα ενάντια στις υπερπιέσεις.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αερισμού  που  χρησιμοποιείται  για την φόρτωση  σε κλειστό κύκλο</w:t>
            </w:r>
          </w:p>
        </w:tc>
        <w:tc>
          <w:tcPr>
            <w:tcW w:w="499" w:type="pct"/>
          </w:tcPr>
          <w:p w:rsidR="00072C7C" w:rsidRPr="00691642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l-GR"/>
              </w:rPr>
            </w:pPr>
          </w:p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μια βαλβίδα που κανονικά είναι ανοικτή.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8</w:t>
            </w:r>
          </w:p>
        </w:tc>
        <w:tc>
          <w:tcPr>
            <w:tcW w:w="434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Η βαλβίδα ασφαλείας: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Κλείνει αυτόματα όταν η δεξαμενή  παίρνει κλίση περισσότερο  των 30˚.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Μετά την πιθανή λειτουργία της παραμένει  ανοικτή.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Μετά την πιθανή λειτουργία της κλείνει αυτόματα.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9</w:t>
            </w:r>
          </w:p>
        </w:tc>
        <w:tc>
          <w:tcPr>
            <w:tcW w:w="434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Ο δίσκος σπασίματος (θραύσης):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που καταστρέφεται σε μια καθορισμένη  πίεση  θραύσης.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κανονικά ανοικτό.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39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Επανέρχεται στην αρχική του κατάσταση αυτόματα αμέσως  μετά τη λειτουργία του.</w:t>
            </w:r>
          </w:p>
        </w:tc>
        <w:tc>
          <w:tcPr>
            <w:tcW w:w="49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E02285" w:rsidTr="00BE4F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tblCellSpacing w:w="11" w:type="dxa"/>
        </w:trPr>
        <w:tc>
          <w:tcPr>
            <w:tcW w:w="619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10</w:t>
            </w:r>
          </w:p>
        </w:tc>
        <w:tc>
          <w:tcPr>
            <w:tcW w:w="434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Η πυθμενοβαλβίδα  (ποδοβαλβίδα):</w:t>
            </w:r>
          </w:p>
        </w:tc>
      </w:tr>
      <w:tr w:rsidR="00072C7C" w:rsidRPr="00E02285" w:rsidTr="00BE4F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tblCellSpacing w:w="11" w:type="dxa"/>
        </w:trPr>
        <w:tc>
          <w:tcPr>
            <w:tcW w:w="619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39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που κλείνει ένα άνοιγμα (από το εσωτερικό)  στο κάτω μέρος της δεξαμενής.</w:t>
            </w:r>
          </w:p>
        </w:tc>
        <w:tc>
          <w:tcPr>
            <w:tcW w:w="499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tblCellSpacing w:w="11" w:type="dxa"/>
        </w:trPr>
        <w:tc>
          <w:tcPr>
            <w:tcW w:w="619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39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που επιτρέπει  τη διαφυγή  των ατμών όταν η δεξαμενή  είναι φορτωμένη.</w:t>
            </w:r>
          </w:p>
        </w:tc>
        <w:tc>
          <w:tcPr>
            <w:tcW w:w="499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tblCellSpacing w:w="11" w:type="dxa"/>
        </w:trPr>
        <w:tc>
          <w:tcPr>
            <w:tcW w:w="619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39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ένα εξάρτημα ενάντια στις υπερπιέσεις  που λειτουργεί κανονικά κλειστό.</w:t>
            </w:r>
          </w:p>
        </w:tc>
        <w:tc>
          <w:tcPr>
            <w:tcW w:w="499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Default="00072C7C">
      <w:r>
        <w:br w:type="page"/>
      </w:r>
    </w:p>
    <w:tbl>
      <w:tblPr>
        <w:tblW w:w="5101" w:type="pct"/>
        <w:tblCellSpacing w:w="11" w:type="dxa"/>
        <w:tblInd w:w="56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247"/>
        <w:gridCol w:w="56"/>
        <w:gridCol w:w="7526"/>
        <w:gridCol w:w="127"/>
        <w:gridCol w:w="1052"/>
      </w:tblGrid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11</w:t>
            </w:r>
          </w:p>
        </w:tc>
        <w:tc>
          <w:tcPr>
            <w:tcW w:w="4356" w:type="pct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Η πυθμενοβαλβίδα  (ποδοβαλβίδα):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79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Μπορεί να είναι με πνευματικό χειρισμό  στις δεξαμενές μεταφοράς υγρών καυσίμων.</w:t>
            </w:r>
          </w:p>
        </w:tc>
        <w:tc>
          <w:tcPr>
            <w:tcW w:w="5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79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Μπορεί να χειρισθεί και να ανοίγει εάν φορτώνεται η δεξαμενή από επάνω.</w:t>
            </w:r>
          </w:p>
        </w:tc>
        <w:tc>
          <w:tcPr>
            <w:tcW w:w="5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79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Μπορεί να διαθέτει την τάπα εξωτερικά της δεξαμενής,  δηλαδή κλείνει τη δεξαμενή από το εξωτερικό.</w:t>
            </w:r>
          </w:p>
        </w:tc>
        <w:tc>
          <w:tcPr>
            <w:tcW w:w="5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12</w:t>
            </w:r>
          </w:p>
        </w:tc>
        <w:tc>
          <w:tcPr>
            <w:tcW w:w="4356" w:type="pct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Η πυθμενοβαλβίδα  (ποδοβαλβίδα):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79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Θεωρείται ένα εξάρτημα ενάντια στην υποπίεση.</w:t>
            </w:r>
          </w:p>
        </w:tc>
        <w:tc>
          <w:tcPr>
            <w:tcW w:w="5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79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∆εν επιτρέπει στο υγρό να γεμίζει το σωλήνα εκφόρτωσης.</w:t>
            </w:r>
          </w:p>
        </w:tc>
        <w:tc>
          <w:tcPr>
            <w:tcW w:w="5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79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Μπορεί  να αφήνεται ανοικτή κατά τη μεταφορά.</w:t>
            </w:r>
          </w:p>
        </w:tc>
        <w:tc>
          <w:tcPr>
            <w:tcW w:w="5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13</w:t>
            </w:r>
          </w:p>
        </w:tc>
        <w:tc>
          <w:tcPr>
            <w:tcW w:w="4356" w:type="pct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Η πυθμενοβαλβίδα  (ποδοβαλβίδα):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79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Θεωρείται ένα εξάρτημα για τον έλεγχο του βαθμού φόρτωσης.</w:t>
            </w:r>
          </w:p>
        </w:tc>
        <w:tc>
          <w:tcPr>
            <w:tcW w:w="5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79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Κατά την εκφόρτωση από ψηλά σε κλειστό κύκλωμα διαμέσου βαρέως σωλήνα,  μπορεί να είναι ανοικτή μαζί με τη βαλβίδα εκφόρτωσης  για την επανάκτηση των ατμών.</w:t>
            </w:r>
          </w:p>
        </w:tc>
        <w:tc>
          <w:tcPr>
            <w:tcW w:w="5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79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τοποθετημένη  πριν τη βαλβίδα εκφόρτωσης.</w:t>
            </w:r>
          </w:p>
        </w:tc>
        <w:tc>
          <w:tcPr>
            <w:tcW w:w="5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2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14</w:t>
            </w:r>
          </w:p>
        </w:tc>
        <w:tc>
          <w:tcPr>
            <w:tcW w:w="4338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Πως μπορεί να ελέγχεται το άνοιγμα των ποδοβαλβίδων;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3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Αυτόματα, ανοίγοντας τις βαλβίδες εκφόρτωσης.</w:t>
            </w:r>
          </w:p>
        </w:tc>
        <w:tc>
          <w:tcPr>
            <w:tcW w:w="49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3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Με ένα σύστημα με πνευματικό χειρισμό από κάτω.</w:t>
            </w:r>
          </w:p>
        </w:tc>
        <w:tc>
          <w:tcPr>
            <w:tcW w:w="49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3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Αποκλειστικά γυρνώντας ένα μοχλό στο επάνω μέρος  της δεξαμενής.</w:t>
            </w:r>
          </w:p>
        </w:tc>
        <w:tc>
          <w:tcPr>
            <w:tcW w:w="49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15</w:t>
            </w:r>
          </w:p>
        </w:tc>
        <w:tc>
          <w:tcPr>
            <w:tcW w:w="4338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Η βάνα εκφόρτωσης: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3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Τοποθετείται μετά την ποδοβαλβίδα.</w:t>
            </w:r>
          </w:p>
        </w:tc>
        <w:tc>
          <w:tcPr>
            <w:tcW w:w="49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3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Μπορεί να χρησιμοποιείται για να εισαχθεί πεπιεσμένος  αέρας, όταν η δεξαμενή είναι φορτωμένη.</w:t>
            </w:r>
          </w:p>
        </w:tc>
        <w:tc>
          <w:tcPr>
            <w:tcW w:w="49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9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3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Τοποθετείται πριν την ποδοβαλβίδα.</w:t>
            </w:r>
          </w:p>
        </w:tc>
        <w:tc>
          <w:tcPr>
            <w:tcW w:w="49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Default="00072C7C">
      <w:r>
        <w:br w:type="page"/>
      </w:r>
    </w:p>
    <w:tbl>
      <w:tblPr>
        <w:tblW w:w="5101" w:type="pct"/>
        <w:tblCellSpacing w:w="11" w:type="dxa"/>
        <w:tblInd w:w="56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281"/>
        <w:gridCol w:w="7631"/>
        <w:gridCol w:w="1096"/>
      </w:tblGrid>
      <w:tr w:rsidR="00072C7C" w:rsidRPr="00691642" w:rsidTr="00BE4F68">
        <w:trPr>
          <w:trHeight w:val="20"/>
          <w:tblCellSpacing w:w="11" w:type="dxa"/>
        </w:trPr>
        <w:tc>
          <w:tcPr>
            <w:tcW w:w="626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16</w:t>
            </w:r>
          </w:p>
        </w:tc>
        <w:tc>
          <w:tcPr>
            <w:tcW w:w="4341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Το στρώμα θερμικής μόνωσης (θερμομόνωση):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6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1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Απαγορεύει πιθανές απώλειες του περιεχομένου  της δεξαμενής.</w:t>
            </w:r>
          </w:p>
        </w:tc>
        <w:tc>
          <w:tcPr>
            <w:tcW w:w="5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6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1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μια εξωτερική επικάλυψη  της δεξαμενής.</w:t>
            </w:r>
          </w:p>
        </w:tc>
        <w:tc>
          <w:tcPr>
            <w:tcW w:w="5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6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1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μια εσωτερική προστασία της δεξαμενής.</w:t>
            </w:r>
          </w:p>
        </w:tc>
        <w:tc>
          <w:tcPr>
            <w:tcW w:w="5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26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17</w:t>
            </w:r>
          </w:p>
        </w:tc>
        <w:tc>
          <w:tcPr>
            <w:tcW w:w="4341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Τα όργανα ελέγχου που γενικά τοποθετούνται επάνω στις δεξαμενές,  μπορούν να είναι: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6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1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Τα μανόμετρα για να επαληθεύουν  τις τιμές της θερμοκρασίας  της μεταφερόμενης ύλης.</w:t>
            </w:r>
          </w:p>
        </w:tc>
        <w:tc>
          <w:tcPr>
            <w:tcW w:w="5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6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1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Τα θερμόμετρα  για να επαληθεύουν  τις τιμές της θερμοκρασίας  της μεταφερόμενης ύλης.</w:t>
            </w:r>
          </w:p>
        </w:tc>
        <w:tc>
          <w:tcPr>
            <w:tcW w:w="5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26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1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Τα θερμόμετρα  για να επαληθεύουν  τις τιμές της πίεσης μέσα στη δεξαμενή.</w:t>
            </w:r>
          </w:p>
        </w:tc>
        <w:tc>
          <w:tcPr>
            <w:tcW w:w="512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18</w:t>
            </w:r>
          </w:p>
        </w:tc>
        <w:tc>
          <w:tcPr>
            <w:tcW w:w="4341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Τα υλικά με τα οποία κατασκευάζονται οι δεξαμενές  μπορούν  να είναι: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18" w:type="pct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Γυαλί.</w:t>
            </w:r>
          </w:p>
        </w:tc>
        <w:tc>
          <w:tcPr>
            <w:tcW w:w="512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18" w:type="pct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Κασίτερος.</w:t>
            </w:r>
          </w:p>
        </w:tc>
        <w:tc>
          <w:tcPr>
            <w:tcW w:w="512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18" w:type="pct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Κράμα αλουμινίου.</w:t>
            </w:r>
          </w:p>
        </w:tc>
        <w:tc>
          <w:tcPr>
            <w:tcW w:w="512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19</w:t>
            </w:r>
          </w:p>
        </w:tc>
        <w:tc>
          <w:tcPr>
            <w:tcW w:w="4341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Οι δεξαμενές για μεταφορά πετρελαιοειδών που έχουν διατομή ελλειπτική ή πολυκεντρική...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18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Κατασκευάζονται και είναι εγκεκριμένες  για να εκφορτώνονται με βαρύτητα.</w:t>
            </w:r>
          </w:p>
        </w:tc>
        <w:tc>
          <w:tcPr>
            <w:tcW w:w="512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18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Κατασκευάζονται και είναι εγκεκριμένες  για να εκφορτώνονται με πίεση.</w:t>
            </w:r>
          </w:p>
        </w:tc>
        <w:tc>
          <w:tcPr>
            <w:tcW w:w="512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18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 xml:space="preserve">Κατασκευάζονται για να αντέχουν πιέσεις  μεταξύ 2 και 4 </w:t>
            </w:r>
            <w:r w:rsidRPr="00E02285">
              <w:rPr>
                <w:rFonts w:cs="Arial"/>
                <w:sz w:val="24"/>
                <w:szCs w:val="24"/>
              </w:rPr>
              <w:t>bar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512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20</w:t>
            </w:r>
          </w:p>
        </w:tc>
        <w:tc>
          <w:tcPr>
            <w:tcW w:w="4341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Ποιο στοιχείο χαρακτηρίζει μία δεξαμενή «ατμοσφαιρική»;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18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Η διατομή που είναι πολυκεντρική ή ελλειπτική.</w:t>
            </w:r>
          </w:p>
        </w:tc>
        <w:tc>
          <w:tcPr>
            <w:tcW w:w="512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18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Η διατομή που μπορεί να είναι μόνο κυκλική.</w:t>
            </w:r>
          </w:p>
        </w:tc>
        <w:tc>
          <w:tcPr>
            <w:tcW w:w="512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2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18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Η παρουσία των βαλβίδων ασφαλείας που έχουν πίεση ανοίγματος ίση με την τιμή της πίεσης δοκιμής της δεξαμενής.</w:t>
            </w:r>
          </w:p>
        </w:tc>
        <w:tc>
          <w:tcPr>
            <w:tcW w:w="512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Default="00072C7C">
      <w: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261"/>
        <w:gridCol w:w="58"/>
        <w:gridCol w:w="7482"/>
        <w:gridCol w:w="107"/>
        <w:gridCol w:w="1100"/>
      </w:tblGrid>
      <w:tr w:rsidR="00072C7C" w:rsidRPr="00691642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21</w:t>
            </w:r>
          </w:p>
        </w:tc>
        <w:tc>
          <w:tcPr>
            <w:tcW w:w="4348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Ποιο στοιχείο χαρακτηρίζει μια δεξαμενή «υπό πίεση»;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778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Οι δείκτες του επιπέδου  που μπορούν να είναι διαφανής.</w:t>
            </w:r>
          </w:p>
        </w:tc>
        <w:tc>
          <w:tcPr>
            <w:tcW w:w="559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778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Η διατομή που είναι γενικά κυκλική.</w:t>
            </w:r>
          </w:p>
        </w:tc>
        <w:tc>
          <w:tcPr>
            <w:tcW w:w="559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778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Η διατομή, και σε γενικές γραμμές,  είναι πολυκεντρική ή ελλειπτική.</w:t>
            </w:r>
          </w:p>
        </w:tc>
        <w:tc>
          <w:tcPr>
            <w:tcW w:w="559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22</w:t>
            </w:r>
          </w:p>
        </w:tc>
        <w:tc>
          <w:tcPr>
            <w:tcW w:w="4348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Για να μεταφερθούν  μερικές  ύλες ιδιαίτερα διαβρωτικές για τα μέταλλα (π.χ.υδροχλωρικό οξύ) πρέπει: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778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Οι δεξαμενές να έχουν στο εσωτερικό τους ένα στρώμα ελαστικού ή εβονίτη, που να αντέχει στα προϊόντα που μεταφέρονται.</w:t>
            </w:r>
          </w:p>
        </w:tc>
        <w:tc>
          <w:tcPr>
            <w:tcW w:w="559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778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Η δεξαμενή να φέρει προστατευτικό εξωτερικό περίβλημα.</w:t>
            </w:r>
          </w:p>
        </w:tc>
        <w:tc>
          <w:tcPr>
            <w:tcW w:w="559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9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778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χρησιμοποιούνται οι λεγόμενες  «μονωμένες»  δεξαμενές.</w:t>
            </w:r>
          </w:p>
        </w:tc>
        <w:tc>
          <w:tcPr>
            <w:tcW w:w="559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23</w:t>
            </w:r>
          </w:p>
        </w:tc>
        <w:tc>
          <w:tcPr>
            <w:tcW w:w="4330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Οι σταθερές δεξαμενές  για τη μεταφορά των υγροποιημένων  αεριών: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03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Έχουν διατομή κυκλική.</w:t>
            </w:r>
          </w:p>
        </w:tc>
        <w:tc>
          <w:tcPr>
            <w:tcW w:w="51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Έχουν πάντα περισσότερα  διαμερίσματα για να είναι δυνατή η μεταφορά κατ’ ανάγκη περισσότερων τύπου αερίων.</w:t>
            </w:r>
          </w:p>
        </w:tc>
        <w:tc>
          <w:tcPr>
            <w:tcW w:w="51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03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Έχουν πάντα διατομή ελλειπτική.</w:t>
            </w:r>
          </w:p>
        </w:tc>
        <w:tc>
          <w:tcPr>
            <w:tcW w:w="51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24</w:t>
            </w:r>
          </w:p>
        </w:tc>
        <w:tc>
          <w:tcPr>
            <w:tcW w:w="4330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Οι σταθερές δεξαμενές  για τη μεταφορά των υγροποιημένων  αερίων: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Πρέπει να φέρουν ένα προστατευτικό αντιηλιακό κάλυμμα που δεν επιτρέπει την υπερθέρμανση  της δεξαμενής.</w:t>
            </w:r>
          </w:p>
        </w:tc>
        <w:tc>
          <w:tcPr>
            <w:tcW w:w="51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Μπορούν να έχουν ένα εξάρτημα εξαερισμού.</w:t>
            </w:r>
          </w:p>
        </w:tc>
        <w:tc>
          <w:tcPr>
            <w:tcW w:w="51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Μπορούν να είναι χωρίς βαλβίδα αέριας φάσης.</w:t>
            </w:r>
          </w:p>
        </w:tc>
        <w:tc>
          <w:tcPr>
            <w:tcW w:w="51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25</w:t>
            </w:r>
          </w:p>
        </w:tc>
        <w:tc>
          <w:tcPr>
            <w:tcW w:w="4330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Οι σταθερές δεξαμενές για μεταφορά υγροποιημένων αερίων: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8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 xml:space="preserve">Κανονικά κατασκευάζονται για να αντέχουν πιέσεις  μεταξύ 1 και 3 </w:t>
            </w:r>
            <w:r w:rsidRPr="00E02285">
              <w:rPr>
                <w:rFonts w:cs="Arial"/>
                <w:sz w:val="24"/>
                <w:szCs w:val="24"/>
              </w:rPr>
              <w:t>bar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51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8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Μπορούν να είναι εξοπλισμένες μόνο με βαλβίδα εκφόρτωσης και χωρίς την βαλβίδα αέριας φάσης.</w:t>
            </w:r>
          </w:p>
        </w:tc>
        <w:tc>
          <w:tcPr>
            <w:tcW w:w="51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3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8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 xml:space="preserve">Κανονικά κατασκευάζονται για να αντέχουν πιέσεις  μεταξύ 10 και 30 </w:t>
            </w:r>
            <w:r w:rsidRPr="00E02285">
              <w:rPr>
                <w:rFonts w:cs="Arial"/>
                <w:sz w:val="24"/>
                <w:szCs w:val="24"/>
              </w:rPr>
              <w:t>bar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51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Default="00072C7C">
      <w: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238"/>
        <w:gridCol w:w="93"/>
        <w:gridCol w:w="61"/>
        <w:gridCol w:w="55"/>
        <w:gridCol w:w="7193"/>
        <w:gridCol w:w="100"/>
        <w:gridCol w:w="73"/>
        <w:gridCol w:w="1195"/>
      </w:tblGrid>
      <w:tr w:rsidR="00072C7C" w:rsidRPr="00691642" w:rsidTr="00BE4F68">
        <w:trPr>
          <w:trHeight w:val="20"/>
          <w:tblCellSpacing w:w="11" w:type="dxa"/>
        </w:trPr>
        <w:tc>
          <w:tcPr>
            <w:tcW w:w="611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26</w:t>
            </w:r>
          </w:p>
        </w:tc>
        <w:tc>
          <w:tcPr>
            <w:tcW w:w="4357" w:type="pct"/>
            <w:gridSpan w:val="7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Ποια εξαρτήματα για τον έλεγχο των βαθμών πλήρωσης,  μπορούν να εξοπλίσουν τις δεξαμενές για μεταφορά υγροποιημένων  αερίων;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1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712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∆εν επιτρέπεται κανένα εξάρτημα, ο έλεγχος πραγματοποιείται με ζύγισμα.</w:t>
            </w:r>
          </w:p>
        </w:tc>
        <w:tc>
          <w:tcPr>
            <w:tcW w:w="633" w:type="pct"/>
            <w:gridSpan w:val="3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1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712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Οι δείκτες επιπέδου  να είναι διαφανείς.</w:t>
            </w:r>
          </w:p>
        </w:tc>
        <w:tc>
          <w:tcPr>
            <w:tcW w:w="633" w:type="pct"/>
            <w:gridSpan w:val="3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11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712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Οι δείκτες επιπέδου περιστρεφόμενοι,  που αποτυπώνουν διαφορετικούς βαθμούς πλήρωσης.</w:t>
            </w:r>
          </w:p>
        </w:tc>
        <w:tc>
          <w:tcPr>
            <w:tcW w:w="633" w:type="pct"/>
            <w:gridSpan w:val="3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8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27</w:t>
            </w:r>
          </w:p>
        </w:tc>
        <w:tc>
          <w:tcPr>
            <w:tcW w:w="4320" w:type="pct"/>
            <w:gridSpan w:val="6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Γενικά ποια είναι τα χαρακτηριστικά των δεξαμενών  για τη μεταφορά  των υγροποιημένων αερίων υπερβολικά ψυχόμενα;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Αντίσταση στην πίεση  και παρουσία  προστασίας  στη διαφυγή  θερμότητας  του τύπου «μόνωση με κενό».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 xml:space="preserve">Η ικανότητα στην αντοχή σε υψηλότατες πιέσεις  (των 80-100  </w:t>
            </w:r>
            <w:r w:rsidRPr="00E02285">
              <w:rPr>
                <w:rFonts w:cs="Arial"/>
                <w:sz w:val="24"/>
                <w:szCs w:val="24"/>
              </w:rPr>
              <w:t>bar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) και παρουσία τουλάχιστον 2 διαμερισμάτων.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Μπορούν να κατασκευάζονται με πλαστικές ύλες.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8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28</w:t>
            </w:r>
          </w:p>
        </w:tc>
        <w:tc>
          <w:tcPr>
            <w:tcW w:w="4320" w:type="pct"/>
            <w:gridSpan w:val="6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Πως μπορούμε  να ταυτοποιήσουμε τις δεξαμενές;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Από την πινακίδα κυκλοφορίας  του οχήματος.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Από τις πληροφορίες  που περιέχονται στη μεταλλική πινακίδα που έχει τοποθετηθεί επάνω στη δεξαμενή.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Από τα γεωμετρικά  χαρακτηριστικά (διαστάσεις)  της δεξαμενής.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8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29</w:t>
            </w:r>
          </w:p>
        </w:tc>
        <w:tc>
          <w:tcPr>
            <w:tcW w:w="4320" w:type="pct"/>
            <w:gridSpan w:val="6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Μεταξύ των ενδείξεων  που πρέπει  υποχρεωτικά  να γράφονται  στο πινακίδιο  μιας δεξαμενής, είναι επίσης: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Ο αριθμός έγκρισης,  το όνομα του κατασκευαστή, ο αριθμός και το έτος κατασκευής.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Ο αριθμός των ανοικτών διαφραγμάτων.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Η τιμή της μέγιστης εγκεκριμένης  μάζας.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8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30</w:t>
            </w:r>
          </w:p>
        </w:tc>
        <w:tc>
          <w:tcPr>
            <w:tcW w:w="4320" w:type="pct"/>
            <w:gridSpan w:val="6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πίεση της υδραυλικής δοκιμής μιας σταθερής δεξαμενής: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η υψηλότερη  πίεση  που εφαρμόζεται κατά τη δοκιμή  της υδραυλικής  δοκιμής.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η πίεση  στην οποία υποβάλλεται η δεξαμενή  κατά τον τριετή έλεγχο.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47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742" w:type="pct"/>
            <w:gridSpan w:val="5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η υψηλότερη  πίεση  που αναπτύσσεται κατά τη μεταφορά.</w:t>
            </w:r>
          </w:p>
        </w:tc>
        <w:tc>
          <w:tcPr>
            <w:tcW w:w="568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8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31</w:t>
            </w:r>
          </w:p>
        </w:tc>
        <w:tc>
          <w:tcPr>
            <w:tcW w:w="4283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πίεση λειτουργίας μιας σταθερής δεξαμενής: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79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η υψηλότερη  πίεση που αναπτύσσεται  κατά τη δοκιμή της υδραυλικής πίεσης.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79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η υψηλότερη  πίεση  που μπορεί  να αναπτυχθεί κατά τη φόρτωση,  την εκφόρτωση ή τη μεταφορά.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79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η πίεση  στην οποία υποβάλλεται η δεξαμενή  κατά την εξαετή δοκιμή.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8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32</w:t>
            </w:r>
          </w:p>
        </w:tc>
        <w:tc>
          <w:tcPr>
            <w:tcW w:w="4283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Οι δεξαμενές  και τα εμπορευματοκιβώτια-δεξαμενές  για επικίνδυνα εμπορεύματα πρέπει περιοδικά να ελέγχονται;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79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Όχι, αρκούν οι αρχικοί έλεγχοι.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79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Ναι, ακόμη και για να θέσουν  εκτός λειτουργίας,  αυτές που δεν  παρουσιάζουν εγγύηση ασφαλείας.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79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Ναι, εκ μέρους του ιδιοκτήτη.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8"/>
          </w:tcPr>
          <w:p w:rsidR="00072C7C" w:rsidRPr="00E02285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33</w:t>
            </w:r>
          </w:p>
        </w:tc>
        <w:tc>
          <w:tcPr>
            <w:tcW w:w="4283" w:type="pct"/>
            <w:gridSpan w:val="4"/>
          </w:tcPr>
          <w:p w:rsidR="00072C7C" w:rsidRPr="00691642" w:rsidRDefault="00072C7C" w:rsidP="00FC1D0D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Κάθε πότε πρέπει (κατ’ ελάχιστον) να ελέγχονται οι σταθερές δεξαμενές (βυτία);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79" w:type="pct"/>
            <w:gridSpan w:val="2"/>
          </w:tcPr>
          <w:p w:rsidR="00072C7C" w:rsidRPr="00E02285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Κάθε 3 χρόνια.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79" w:type="pct"/>
            <w:gridSpan w:val="2"/>
          </w:tcPr>
          <w:p w:rsidR="00072C7C" w:rsidRPr="00E02285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Κάθε χρόνο.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79" w:type="pct"/>
            <w:gridSpan w:val="2"/>
          </w:tcPr>
          <w:p w:rsidR="00072C7C" w:rsidRPr="00E02285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Κάθε 4 χρόνια.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8"/>
          </w:tcPr>
          <w:p w:rsidR="00072C7C" w:rsidRPr="00E02285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34</w:t>
            </w:r>
          </w:p>
        </w:tc>
        <w:tc>
          <w:tcPr>
            <w:tcW w:w="4283" w:type="pct"/>
            <w:gridSpan w:val="4"/>
          </w:tcPr>
          <w:p w:rsidR="00072C7C" w:rsidRPr="00691642" w:rsidRDefault="00072C7C" w:rsidP="00FC1D0D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δοκιμή τριετίας της σταθερής δεξαμενής: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79" w:type="pct"/>
            <w:gridSpan w:val="2"/>
          </w:tcPr>
          <w:p w:rsidR="00072C7C" w:rsidRPr="00E02285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Προβλέπει μια δοκιμή στεγανότητας.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79" w:type="pct"/>
            <w:gridSpan w:val="2"/>
          </w:tcPr>
          <w:p w:rsidR="00072C7C" w:rsidRPr="00691642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Προβλέπει το γέμισμα με εύφλεκτο υγρό.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84" w:type="pct"/>
            <w:gridSpan w:val="4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79" w:type="pct"/>
            <w:gridSpan w:val="2"/>
          </w:tcPr>
          <w:p w:rsidR="00072C7C" w:rsidRPr="00691642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μια πιο σοβαρή δοκιμή εκείνης των 6 χρόνων.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8"/>
          </w:tcPr>
          <w:p w:rsidR="00072C7C" w:rsidRPr="00E02285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67" w:type="pct"/>
            <w:gridSpan w:val="3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35</w:t>
            </w:r>
          </w:p>
        </w:tc>
        <w:tc>
          <w:tcPr>
            <w:tcW w:w="4300" w:type="pct"/>
            <w:gridSpan w:val="5"/>
          </w:tcPr>
          <w:p w:rsidR="00072C7C" w:rsidRPr="00691642" w:rsidRDefault="00072C7C" w:rsidP="00FC1D0D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δοκιμή εξαετίας της σταθερής δεξαμενής: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7" w:type="pct"/>
            <w:gridSpan w:val="3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96" w:type="pct"/>
            <w:gridSpan w:val="3"/>
          </w:tcPr>
          <w:p w:rsidR="00072C7C" w:rsidRPr="00691642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Προβλέπει  τον έλεγχο του μέγιστου κενού.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7" w:type="pct"/>
            <w:gridSpan w:val="3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96" w:type="pct"/>
            <w:gridSpan w:val="3"/>
          </w:tcPr>
          <w:p w:rsidR="00072C7C" w:rsidRPr="00691642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Προβλέπει  έναν έλεγχο  της εξωτερικής κατάστασης και του εσωτερικού της δεξαμενής  και τον έλεγχο των εξαρτημάτων λειτουργίας.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7" w:type="pct"/>
            <w:gridSpan w:val="3"/>
          </w:tcPr>
          <w:p w:rsidR="00072C7C" w:rsidRPr="00E02285" w:rsidRDefault="00072C7C" w:rsidP="00FC1D0D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96" w:type="pct"/>
            <w:gridSpan w:val="3"/>
          </w:tcPr>
          <w:p w:rsidR="00072C7C" w:rsidRPr="00691642" w:rsidRDefault="00072C7C" w:rsidP="00FC1D0D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Προβλέπει μια δοκιμή υπό θερμοκρασία.</w:t>
            </w:r>
          </w:p>
        </w:tc>
        <w:tc>
          <w:tcPr>
            <w:tcW w:w="593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8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Default="00072C7C">
      <w: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356"/>
        <w:gridCol w:w="7355"/>
        <w:gridCol w:w="1297"/>
      </w:tblGrid>
      <w:tr w:rsidR="00072C7C" w:rsidRPr="00691642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691642" w:rsidRDefault="00072C7C" w:rsidP="00FC1D0D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ΚΕΦΑΛΑΙΟ 2: ΕΙΔΙΚΕΣ ΠΡΟΔΙΑΓΡΑΦΕΣ ΒΥΤΙΟΦΟΡΩΝ ΟΧΗΜΑΤΩΝ</w:t>
            </w: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l-GR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36</w:t>
            </w:r>
          </w:p>
        </w:tc>
        <w:tc>
          <w:tcPr>
            <w:tcW w:w="43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Ποια είναι η υποχρέωση  του οδηγού ενός βυτιοφόρου οχήματος στη φόρτωση;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υποχρεωμένος  να πραγματοποιήσει τις συνδέσεις  των εύκαμπτων σωλήνων στο δοχείο του φορτωτή.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επιδείξει  στο πληρωτή  τα έγγραφα  του βυτίου που επιτρέπουν  τη μεταφορά  της επικίνδυνης ύλης προς φόρτωση.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 χρειάζεται να εξετάσει την εξουσιοδότηση  για μεταφορά  της ύλης,  γιατί αυτό είναι αρμοδιότητα της μεταφορικής εταιρίας.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37</w:t>
            </w:r>
          </w:p>
        </w:tc>
        <w:tc>
          <w:tcPr>
            <w:tcW w:w="43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Ποια είναι η υποχρέωση  του οδηγού για το φορτίο του βυτιοφόρου οχήματος;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καθορίσει το ειδικό βάρος (πυκνότητα) της ύλης.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εξακριβώσει το βαθμό μέγιστης πλήρωσης.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καθορίσει το βαθμό του ιξώδους της ύλης.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38</w:t>
            </w:r>
          </w:p>
        </w:tc>
        <w:tc>
          <w:tcPr>
            <w:tcW w:w="43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Τι από τα παρακάτω πρέπει να κάνει ο οδηγός ενός βυτιοφόρου οχήματος κατά τη φόρτωση;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80" w:type="pct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Να πραγματοποιήσει  τη γείωση.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σβήσει τον κινητήρα και να ακινητοποιήσει  το όχημα.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μην πραγματοποιήσει  τη γείωση  για υγρά που το σημείο  της ανάφλεξης  τους είναι μικρότερο των 60˚</w:t>
            </w:r>
            <w:r w:rsidRPr="00E02285">
              <w:rPr>
                <w:rFonts w:cs="Arial"/>
                <w:sz w:val="24"/>
                <w:szCs w:val="24"/>
              </w:rPr>
              <w:t>C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39</w:t>
            </w:r>
          </w:p>
        </w:tc>
        <w:tc>
          <w:tcPr>
            <w:tcW w:w="430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Ποια από τις παρακάτω προφυλάξεις/συμπεριφορές του οδηγού,  των βυτιοφόρων οχημάτων σας φαίνεται σωστή κατά τη φόρτωση;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∆εν ελέγχει  τη φόρτωση  εάν έχει γίνει καθαρισμός  της δεξαμενής  (</w:t>
            </w:r>
            <w:r w:rsidRPr="00E02285">
              <w:rPr>
                <w:rFonts w:cs="Arial"/>
                <w:sz w:val="24"/>
                <w:szCs w:val="24"/>
              </w:rPr>
              <w:t>gas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 xml:space="preserve">  </w:t>
            </w:r>
            <w:r w:rsidRPr="00E02285">
              <w:rPr>
                <w:rFonts w:cs="Arial"/>
                <w:sz w:val="24"/>
                <w:szCs w:val="24"/>
              </w:rPr>
              <w:t>free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)  σε ένα ειδικό σταθμό πλυσίματος.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∆εν  εγκαταλείπει  ποτέ το όχημα  κατά τη διάρκεια όλων των εργασιών.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4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80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Εγκαταλείπει το όχημα μόνο εάν φορτώνεται με ανοικτές τις ανθρωποθυρίδες των δεξαμενών.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Default="00072C7C">
      <w: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332"/>
        <w:gridCol w:w="50"/>
        <w:gridCol w:w="7222"/>
        <w:gridCol w:w="123"/>
        <w:gridCol w:w="1281"/>
      </w:tblGrid>
      <w:tr w:rsidR="00072C7C" w:rsidRPr="00691642" w:rsidTr="00BE4F68">
        <w:trPr>
          <w:trHeight w:val="20"/>
          <w:tblCellSpacing w:w="11" w:type="dxa"/>
        </w:trPr>
        <w:tc>
          <w:tcPr>
            <w:tcW w:w="655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40</w:t>
            </w:r>
          </w:p>
        </w:tc>
        <w:tc>
          <w:tcPr>
            <w:tcW w:w="4312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Ποια από τις παρακάτω προφυλάξεις/συμπεριφορές του οδηγού των βυτιοφόρων οχημάτων σας φαίνεται σωστή, κατά τη φόρτωση;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55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4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Σε  περίπτωση  καταιγίδων με  βροντές  και κεραυνούς,  να διακόψει τη φόρτωση υλών με κινδύνους ανάφλεξης.</w:t>
            </w:r>
          </w:p>
        </w:tc>
        <w:tc>
          <w:tcPr>
            <w:tcW w:w="658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55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4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ζυγίσει σε πλήρες φορτίο και, σε περίπτωση υπερφόρτωσης που δεν ξεπερνά το 10%  να συνεχίσει το ταξίδι του.</w:t>
            </w:r>
          </w:p>
        </w:tc>
        <w:tc>
          <w:tcPr>
            <w:tcW w:w="658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55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4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εξακριβώσει ότι η φορτωμένη ποσότητα δεν ξεπερνά ποτέ το 80%  της συνολικής χωρητικότητας του διαμερίσματος.</w:t>
            </w:r>
          </w:p>
        </w:tc>
        <w:tc>
          <w:tcPr>
            <w:tcW w:w="658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55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41</w:t>
            </w:r>
          </w:p>
        </w:tc>
        <w:tc>
          <w:tcPr>
            <w:tcW w:w="4312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Κατά τη φόρτωση από τον πυθμένα σε κλειστό κύκλωμα, ο οδηγός...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55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4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Πρέπει να συνδέσει  το σωλήνα  της αέριας φάσης  (ανάκτηση ατμών) της εγκατά στασης στη βαλβίδα αέριας φάσης που είναι τοποθετημένη στο επάνω μέρος  της δεξαμενής.</w:t>
            </w:r>
          </w:p>
        </w:tc>
        <w:tc>
          <w:tcPr>
            <w:tcW w:w="658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55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4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Πρέπει να ανοίξει τη βαλβίδα εκφόρτωσης που συνδέει τον εύκαμπτο σωλήνα της υγρής φάσης της εγκατάστασης, αλλά όχι την ποδοβαλβίδα.</w:t>
            </w:r>
          </w:p>
        </w:tc>
        <w:tc>
          <w:tcPr>
            <w:tcW w:w="658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55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43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Πρέπει να συνδέσει  το σωλήνα της αέριας φάσης (ανάκτηση ατμών), της εγκατάστασης στη βαλβίδα ασφαλείας τοποθετημένη στο επάνω μέρος της δεξαμενής.</w:t>
            </w:r>
          </w:p>
        </w:tc>
        <w:tc>
          <w:tcPr>
            <w:tcW w:w="658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6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42</w:t>
            </w:r>
          </w:p>
        </w:tc>
        <w:tc>
          <w:tcPr>
            <w:tcW w:w="4298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Κατά τη φόρτωση ενός υγροποιημένου αερίου, πως μπορεί ο οδηγός να ελέγξει/ καθορίσει τη φορτωμένη  ποσότητα;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8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Τοποθετώντας  το όχημα  στη ζυγαριά και τηρώντας τη μέγιστη μάζα (βάρος)  φόρτωσης για την ύλη,  εάν αυτό το στοιχείο περιέχεται επάνω στην πινακίδα της δεξαμενής.</w:t>
            </w:r>
          </w:p>
        </w:tc>
        <w:tc>
          <w:tcPr>
            <w:tcW w:w="607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8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Φορτώνοντάς το σε πλάστιγγα χωρίς να ξεπεράσει το ωφέλιμο  φορτίο της δεξαμενής, με οποιοδήποτε τύπο αερίου.</w:t>
            </w:r>
          </w:p>
        </w:tc>
        <w:tc>
          <w:tcPr>
            <w:tcW w:w="607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8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Ανοίγοντας τη βαλβίδα υγρής φάσης μετά από 20  λεπτά της ώρας από την αρχή της φόρτωσης.</w:t>
            </w:r>
          </w:p>
        </w:tc>
        <w:tc>
          <w:tcPr>
            <w:tcW w:w="607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6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43</w:t>
            </w:r>
          </w:p>
        </w:tc>
        <w:tc>
          <w:tcPr>
            <w:tcW w:w="4298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φόρτωση και εκφόρτωση υγρού οξυγόνου...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8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∆εν απαιτεί ειδικά εξαρτήματα ή ειδικά καθαρισμένα  εξαρτήματα.</w:t>
            </w:r>
          </w:p>
        </w:tc>
        <w:tc>
          <w:tcPr>
            <w:tcW w:w="607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8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Μπορεί να πραγματοποιείται χωρίς κίνδυνο,  φορώντας συνθετικά ρούχα ή λερωμένα με λάδια.</w:t>
            </w:r>
          </w:p>
        </w:tc>
        <w:tc>
          <w:tcPr>
            <w:tcW w:w="607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9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8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Απαιτεί εξαρτήματα χωρίς ίχνη γράσου.</w:t>
            </w:r>
          </w:p>
        </w:tc>
        <w:tc>
          <w:tcPr>
            <w:tcW w:w="607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Default="00072C7C">
      <w: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360"/>
        <w:gridCol w:w="7323"/>
        <w:gridCol w:w="1325"/>
      </w:tblGrid>
      <w:tr w:rsidR="00072C7C" w:rsidRPr="00691642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44</w:t>
            </w:r>
          </w:p>
        </w:tc>
        <w:tc>
          <w:tcPr>
            <w:tcW w:w="4301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Ποια από τις παρακάτω προφυλάξεις/συμπεριφορές του οδηγού των βυτιοφόρων οχημάτων στην εκφόρτωση σας φαίνεται σωστή;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ενεργοποιήσει  το διακόπτη μπαταριών για τη γείωση.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Κατά τις εργασίες,  να εγκαταλείπει το όχημα μόνο εάν ένας υπάλληλος της εγκατάστασης προθυμοποιείται  να τον αντικαταστήσει.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φορέσει τον κατάλληλο εξοπλισμό προσωπικής  προστασίας.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45</w:t>
            </w:r>
          </w:p>
        </w:tc>
        <w:tc>
          <w:tcPr>
            <w:tcW w:w="4301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Ποια από τις παρακάτω προφυλάξεις/συμπεριφορές πρέπει να υιοθετήσει ο οδηγός ενός βυτιοφόρου οχήματος στην εκφόρτωση;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μην πραγματοποιήσει τη γείωση,  εάν οι ύλες έχουν δευτερεύοντα  κίνδυνο  ανάφλεξης.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γειώνει  πάντα στη γη για τα υγρά που έχουν  σημείο  ανάφλεξης  μικρότερο  των 23</w:t>
            </w:r>
            <w:r w:rsidRPr="00691642">
              <w:rPr>
                <w:rFonts w:cs="Arial"/>
                <w:sz w:val="24"/>
                <w:szCs w:val="24"/>
                <w:vertAlign w:val="superscript"/>
                <w:lang w:val="el-GR"/>
              </w:rPr>
              <w:t>ο</w:t>
            </w:r>
            <w:r w:rsidRPr="00E02285">
              <w:rPr>
                <w:rFonts w:cs="Arial"/>
                <w:sz w:val="24"/>
                <w:szCs w:val="24"/>
              </w:rPr>
              <w:t>C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μη γειώσει  στη γη για τα υγρά που έχουν σημείο ανάφλεξης μικρότερο των 60</w:t>
            </w:r>
            <w:r w:rsidRPr="00691642">
              <w:rPr>
                <w:rFonts w:cs="Arial"/>
                <w:sz w:val="24"/>
                <w:szCs w:val="24"/>
                <w:vertAlign w:val="superscript"/>
                <w:lang w:val="el-GR"/>
              </w:rPr>
              <w:t>ο</w:t>
            </w:r>
            <w:r w:rsidRPr="00E02285">
              <w:rPr>
                <w:rFonts w:cs="Arial"/>
                <w:sz w:val="24"/>
                <w:szCs w:val="24"/>
              </w:rPr>
              <w:t>C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46</w:t>
            </w:r>
          </w:p>
        </w:tc>
        <w:tc>
          <w:tcPr>
            <w:tcW w:w="4301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σωστή συμπεριφορά  του οδηγού βυτιοφόρου οχήματος στην εκφόρτωση είναι: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Σε περίπτωση μικρής διαρροής από μια σύνδεση ενός εύκαμπτου σωλήνα να διακόψει την εκφόρτωση.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Στο τέλος της εκφόρτωσης  να αφαιρέσει ή να καλύψει τις σημάνσεις  της ύλης που εκφόρτωσε.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Σε περίπτωση καταιγίδων με βροντές και κεραυνούς  να μη διακόψει την εκφόρτωση.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47</w:t>
            </w:r>
          </w:p>
        </w:tc>
        <w:tc>
          <w:tcPr>
            <w:tcW w:w="4301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σωστή συμπεριφορά  του οδηγού βυτιοφόρου οχήματος στην εκφόρτωση είναι: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προχωρήσει στην εκφόρτωση χωρίς να ρωτήσει ποια είναι η ελεύθερη χωρητικότητα του δοχείου  της εγκατάστασης.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Τελειώνοντας την εκφόρτωση υδρογονανθράκων  να ανοίξει τις ανθρωποθυρίδες για να αερίσει τη δεξαμενή και για να στεγνώσει γρήγορα.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64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Τελειώνοντας την εκφόρτωση να αφήσει τις σημάνσεις  της μεταφερθείσας  ύλης.</w:t>
            </w:r>
          </w:p>
        </w:tc>
        <w:tc>
          <w:tcPr>
            <w:tcW w:w="626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Default="00072C7C">
      <w: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349"/>
        <w:gridCol w:w="40"/>
        <w:gridCol w:w="7241"/>
        <w:gridCol w:w="87"/>
        <w:gridCol w:w="1291"/>
      </w:tblGrid>
      <w:tr w:rsidR="00072C7C" w:rsidRPr="00E02285" w:rsidTr="00BE4F68">
        <w:trPr>
          <w:trHeight w:val="20"/>
          <w:tblCellSpacing w:w="11" w:type="dxa"/>
        </w:trPr>
        <w:tc>
          <w:tcPr>
            <w:tcW w:w="663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48</w:t>
            </w:r>
          </w:p>
        </w:tc>
        <w:tc>
          <w:tcPr>
            <w:tcW w:w="4304" w:type="pct"/>
            <w:gridSpan w:val="4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σωστή συμπεριφορά  του οδηγού βυτιοφόρου οχήματος στην εκφόρτωση</w:t>
            </w:r>
          </w:p>
          <w:p w:rsidR="00072C7C" w:rsidRPr="00E02285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είναι: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3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48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πραγματοποιήσει  συνδέσεις  από τη δεξαμενή  στο δοχείο  της εγκατάστασης, εάν το προσωπικό  της εγκατάστασης είναι απών.</w:t>
            </w:r>
          </w:p>
        </w:tc>
        <w:tc>
          <w:tcPr>
            <w:tcW w:w="645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3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48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θέσει  στις πινακίδες  κινδύνου μια μαύρη ταινία πλαγιαστή,  μόλις  τελειώσει η εκφόρτωση.</w:t>
            </w:r>
          </w:p>
        </w:tc>
        <w:tc>
          <w:tcPr>
            <w:tcW w:w="645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63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48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Να πληροφορήσει  τον παραλήπτη για τη μεταφερόμενη  επικίνδυνη  ύλη.</w:t>
            </w:r>
          </w:p>
        </w:tc>
        <w:tc>
          <w:tcPr>
            <w:tcW w:w="645" w:type="pct"/>
            <w:gridSpan w:val="2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49</w:t>
            </w:r>
          </w:p>
        </w:tc>
        <w:tc>
          <w:tcPr>
            <w:tcW w:w="4295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Όταν ένας εύκαμπτος σωλήνας είναι χαλασμένος: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Το κάνετε γνωστό στην εταιρία σας και οπωσδήποτε  δεν τον χρησιμοποιείτε  για την εκφόρτωση.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Είναι προτιμότερο  να τον χρησιμοποιήσετε   για την εκφόρτωση  τοξικών υλών  ή διαβρωτικών αλλά όχι για τις εύφλεκτες.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Πρέπει να επισκευαστεί από τον οδηγό.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50</w:t>
            </w:r>
          </w:p>
        </w:tc>
        <w:tc>
          <w:tcPr>
            <w:tcW w:w="4295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εκφόρτωση σε κλειστό κύκλωμα: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Πραγματοποιείται για να μην μολυνθεί  ο αέρας.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∆εν πρέπει ποτέ να αφορά τις τοξικές ύλες.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Πραγματοποιείται κυρίως για να επιταχυνθούν οι χρόνοι της εργασίας.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51</w:t>
            </w:r>
          </w:p>
        </w:tc>
        <w:tc>
          <w:tcPr>
            <w:tcW w:w="4295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Για τους σκοπούς της εκφόρτωσης σε κλειστό κύκλωμα ενός βυτίου: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Οι ατμοί της δεξαμενής  εισρέουν  στο δοχείο της εγκατάστασης.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∆εν υπάρχουν διαφυγές ατμών στην ατμόσφαιρα.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∆εν υπάρχουν ούτε ατμοί, ούτε υγρό στη δεξαμενή.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52</w:t>
            </w:r>
          </w:p>
        </w:tc>
        <w:tc>
          <w:tcPr>
            <w:tcW w:w="4295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Η εκφόρτωση σε κλειστό κύκλωμα: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∆εν πρέπει ποτέ να γίνεται από επάνω.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Πρέπει να γίνεται μόνο από κάτω.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67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72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Μπορεί να γίνει από κάτω.</w:t>
            </w:r>
          </w:p>
        </w:tc>
        <w:tc>
          <w:tcPr>
            <w:tcW w:w="613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BE4F68">
        <w:trPr>
          <w:trHeight w:val="20"/>
          <w:tblCellSpacing w:w="11" w:type="dxa"/>
        </w:trPr>
        <w:tc>
          <w:tcPr>
            <w:tcW w:w="4978" w:type="pct"/>
            <w:gridSpan w:val="5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Pr="00BE4F68" w:rsidRDefault="00072C7C">
      <w:pPr>
        <w:rPr>
          <w:sz w:val="24"/>
          <w:szCs w:val="24"/>
        </w:rPr>
      </w:pPr>
      <w:r w:rsidRPr="00BE4F68">
        <w:rPr>
          <w:sz w:val="24"/>
          <w:szCs w:val="24"/>
        </w:rP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842"/>
        <w:gridCol w:w="571"/>
        <w:gridCol w:w="7295"/>
        <w:gridCol w:w="1300"/>
      </w:tblGrid>
      <w:tr w:rsidR="00072C7C" w:rsidRPr="00691642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53</w:t>
            </w:r>
          </w:p>
        </w:tc>
        <w:tc>
          <w:tcPr>
            <w:tcW w:w="4276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Κατά την εκφόρτωση  με βαρύτητα μιας δεξαμενής,  ο οδηγός: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53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Σε  περίπτωση που  ξεκομπλάρει ο  εύκαμπτος σωλήνας  εκφόρτωσης  «από  την πλευρά της εγκατάστασης» πρέπει να κλείσει την ποδοβαλβίδα.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53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Πρέπει να κρατά τη δεξαμενή  κλειστή, εκτός των κάτω εξαρτημάτων αδειάσματος.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53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Για να μπει αέρας στη δεξαμενή  μπορεί  να αρκεί το άνοιγμα μόνο της βαλβίδας της αέριας φάσης που έχει ονομαστική διάμετρο 20</w:t>
            </w:r>
            <w:r w:rsidRPr="00E02285">
              <w:rPr>
                <w:rFonts w:cs="Arial"/>
                <w:sz w:val="24"/>
                <w:szCs w:val="24"/>
              </w:rPr>
              <w:t>mm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3324BA">
        <w:trPr>
          <w:trHeight w:val="20"/>
          <w:tblCellSpacing w:w="11" w:type="dxa"/>
        </w:trPr>
        <w:tc>
          <w:tcPr>
            <w:tcW w:w="4973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54</w:t>
            </w:r>
          </w:p>
        </w:tc>
        <w:tc>
          <w:tcPr>
            <w:tcW w:w="4276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Κατά την εκφόρτωση  μιας δεξαμενής  από τον πυθμένα  υπό πίεση  ο οδηγός: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53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Πρέπει να οδηγήσει  στη δεξαμενή αδρανή αέρια (π.χ.  άζωτο) εάν τα υγρά έχουν ένα χαμηλό σημείο ανάφλεξης.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53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Σε περίπτωση ανάγκης, μπορεί να εκφορτώσει σε μια πίεση μεγαλύτερη από εκείνη της μέγιστης λειτουργίας της δεξαμενής.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53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∆ε χρειάζεται να ελέγχει  την πίεση  στο μανόμετρο  γιατί είναι αρμοδιότητα του παραλήπτη.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3324BA">
        <w:trPr>
          <w:trHeight w:val="20"/>
          <w:tblCellSpacing w:w="11" w:type="dxa"/>
        </w:trPr>
        <w:tc>
          <w:tcPr>
            <w:tcW w:w="4973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55</w:t>
            </w:r>
          </w:p>
        </w:tc>
        <w:tc>
          <w:tcPr>
            <w:tcW w:w="4276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 xml:space="preserve">Το πιστοποιητικό έγκρισης  βυτιοφόρου οχήματος κατά </w:t>
            </w:r>
            <w:r w:rsidRPr="00E02285">
              <w:rPr>
                <w:rFonts w:cs="Arial"/>
                <w:b/>
                <w:sz w:val="24"/>
                <w:szCs w:val="24"/>
              </w:rPr>
              <w:t>ADR</w:t>
            </w: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 xml:space="preserve">  για τα βυτία που μεταφέρουν επικίνδυνα εμπορεύματα: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53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Περιέχει τις πιέσεις της δεξαμενής.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53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Έχει ισχύ ένα ημερολογιακό έτος από την ημέρα (ημερομηνία)  έκδοσης.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682" w:type="pct"/>
            <w:gridSpan w:val="2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53" w:type="pct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Έχει ισχύ 3 χρόνια από την ημερομηνία  έκδοσης.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3324BA">
        <w:trPr>
          <w:trHeight w:val="20"/>
          <w:tblCellSpacing w:w="11" w:type="dxa"/>
        </w:trPr>
        <w:tc>
          <w:tcPr>
            <w:tcW w:w="4973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E02285" w:rsidTr="003324BA">
        <w:trPr>
          <w:trHeight w:val="20"/>
          <w:tblCellSpacing w:w="11" w:type="dxa"/>
        </w:trPr>
        <w:tc>
          <w:tcPr>
            <w:tcW w:w="4973" w:type="pct"/>
            <w:gridSpan w:val="4"/>
          </w:tcPr>
          <w:p w:rsidR="00072C7C" w:rsidRPr="00E02285" w:rsidRDefault="00072C7C" w:rsidP="00FC1D0D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ΚΕΦΑΛΑΙΟ 3: ΣΗΜΑΝΣΗ ΒΥΤΙΟΦΟΡΩΝ ΟΧΗΜΑΤΩΝ.</w:t>
            </w:r>
          </w:p>
        </w:tc>
      </w:tr>
      <w:tr w:rsidR="00072C7C" w:rsidRPr="00E02285" w:rsidTr="003324BA">
        <w:trPr>
          <w:trHeight w:val="20"/>
          <w:tblCellSpacing w:w="11" w:type="dxa"/>
        </w:trPr>
        <w:tc>
          <w:tcPr>
            <w:tcW w:w="4973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56</w:t>
            </w:r>
          </w:p>
        </w:tc>
        <w:tc>
          <w:tcPr>
            <w:tcW w:w="4553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Τι σημαίνει  το «Χ» που τίθεται πριν τον αριθμό αναγνώρισης  του κινδύνου;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Ύλη που δεν είναι καλά αναγνωρίσιμη.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Υποχρέωση εκκένωσης  του αέρα σε περίπτωση ατυχήματος.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Ότι η ύλη αντιδρά επικίνδυνα με το νερό.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3324BA">
        <w:trPr>
          <w:trHeight w:val="20"/>
          <w:tblCellSpacing w:w="11" w:type="dxa"/>
        </w:trPr>
        <w:tc>
          <w:tcPr>
            <w:tcW w:w="4973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57</w:t>
            </w:r>
          </w:p>
        </w:tc>
        <w:tc>
          <w:tcPr>
            <w:tcW w:w="4553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Τι σημαίνει  ο αριθμός  κινδύνου Χ 338;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Υγρό λίγο εύφλεκτο αλλά διαβρωτικό που αντιδρά επικίνδυνα με το νερό.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Υγρό διαβρωτικό που αντιδρά επικίνδυνα με το νερό και παράγει εύφλεκτα αέρια.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Υγρό πολύ εύφλεκτο, διαβρωτικό, που αντιδρά επικίνδυνα με το νερό.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3324BA">
        <w:trPr>
          <w:trHeight w:val="20"/>
          <w:tblCellSpacing w:w="11" w:type="dxa"/>
        </w:trPr>
        <w:tc>
          <w:tcPr>
            <w:tcW w:w="4973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58</w:t>
            </w:r>
          </w:p>
        </w:tc>
        <w:tc>
          <w:tcPr>
            <w:tcW w:w="4553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Τι σημαίνει ο αριθμός κινδύνου 663;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Ύλη πολύ τοξική και εύφλεκτη (σημείο  ανάφλεξης  όχι μεγαλύτερο  από 60</w:t>
            </w:r>
            <w:r w:rsidRPr="00691642">
              <w:rPr>
                <w:rFonts w:cs="Arial"/>
                <w:sz w:val="24"/>
                <w:szCs w:val="24"/>
                <w:vertAlign w:val="superscript"/>
                <w:lang w:val="el-GR"/>
              </w:rPr>
              <w:t>ο</w:t>
            </w:r>
            <w:r w:rsidRPr="00E02285">
              <w:rPr>
                <w:rFonts w:cs="Arial"/>
                <w:sz w:val="24"/>
                <w:szCs w:val="24"/>
              </w:rPr>
              <w:t>C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).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Μολυσματική ύλη και πολύ εύφλεκτη.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Ύλη πολύ διαβρωτική και πολύ εύφλεκτη.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3324BA">
        <w:trPr>
          <w:trHeight w:val="20"/>
          <w:tblCellSpacing w:w="11" w:type="dxa"/>
        </w:trPr>
        <w:tc>
          <w:tcPr>
            <w:tcW w:w="4973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59</w:t>
            </w:r>
          </w:p>
        </w:tc>
        <w:tc>
          <w:tcPr>
            <w:tcW w:w="4553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Τι σημαίνει ο αριθμός κινδύνου 883;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Ύλη τοξική και πολύ εύφλεκτη.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Ύλη εύφλεκτη και λίγο διαβρωτική.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Ύλη πολύ διαβρωτική και εύφλεκτη (σημείο  ανάφλεξης)  μεταξύ 23˚</w:t>
            </w:r>
            <w:r w:rsidRPr="00E02285">
              <w:rPr>
                <w:rFonts w:cs="Arial"/>
                <w:sz w:val="24"/>
                <w:szCs w:val="24"/>
              </w:rPr>
              <w:t>C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 xml:space="preserve"> και 60˚</w:t>
            </w:r>
            <w:r w:rsidRPr="00E02285">
              <w:rPr>
                <w:rFonts w:cs="Arial"/>
                <w:sz w:val="24"/>
                <w:szCs w:val="24"/>
              </w:rPr>
              <w:t>C</w:t>
            </w:r>
            <w:r w:rsidRPr="00691642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3324BA">
        <w:trPr>
          <w:trHeight w:val="20"/>
          <w:tblCellSpacing w:w="11" w:type="dxa"/>
        </w:trPr>
        <w:tc>
          <w:tcPr>
            <w:tcW w:w="4973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072C7C" w:rsidRPr="00691642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E02285">
              <w:rPr>
                <w:rFonts w:cs="Arial"/>
                <w:b/>
                <w:sz w:val="24"/>
                <w:szCs w:val="24"/>
              </w:rPr>
              <w:t>60</w:t>
            </w:r>
          </w:p>
        </w:tc>
        <w:tc>
          <w:tcPr>
            <w:tcW w:w="4553" w:type="pct"/>
            <w:gridSpan w:val="3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b/>
                <w:sz w:val="24"/>
                <w:szCs w:val="24"/>
                <w:lang w:val="el-GR"/>
              </w:rPr>
              <w:t>Τι σημαίνει ο αριθμός κινδύνου 90;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Ύλη εύφλεκτη που μπορεί να παράγει βίαιη αντίδραση.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Ύλη εύφλεκτη με κίνδυνο βίαιου πολυμερισμού.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Λ</w:t>
            </w:r>
          </w:p>
        </w:tc>
      </w:tr>
      <w:tr w:rsidR="00072C7C" w:rsidRPr="00E02285" w:rsidTr="005D5317">
        <w:trPr>
          <w:trHeight w:val="20"/>
          <w:tblCellSpacing w:w="11" w:type="dxa"/>
        </w:trPr>
        <w:tc>
          <w:tcPr>
            <w:tcW w:w="406" w:type="pct"/>
          </w:tcPr>
          <w:p w:rsidR="00072C7C" w:rsidRPr="00E02285" w:rsidRDefault="00072C7C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930" w:type="pct"/>
            <w:gridSpan w:val="2"/>
          </w:tcPr>
          <w:p w:rsidR="00072C7C" w:rsidRPr="00691642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691642">
              <w:rPr>
                <w:rFonts w:cs="Arial"/>
                <w:sz w:val="24"/>
                <w:szCs w:val="24"/>
                <w:lang w:val="el-GR"/>
              </w:rPr>
              <w:t>Ύλη επικίνδυνη διάφορη ή ύλη επικίνδυνη για το περιβάλλον.</w:t>
            </w:r>
          </w:p>
        </w:tc>
        <w:tc>
          <w:tcPr>
            <w:tcW w:w="609" w:type="pct"/>
          </w:tcPr>
          <w:p w:rsidR="00072C7C" w:rsidRPr="00E02285" w:rsidRDefault="00072C7C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E02285">
              <w:rPr>
                <w:rFonts w:cs="Arial"/>
                <w:sz w:val="24"/>
                <w:szCs w:val="24"/>
              </w:rPr>
              <w:t>Σ</w:t>
            </w:r>
          </w:p>
        </w:tc>
      </w:tr>
      <w:tr w:rsidR="00072C7C" w:rsidRPr="00E02285" w:rsidTr="003324BA">
        <w:trPr>
          <w:trHeight w:val="20"/>
          <w:tblCellSpacing w:w="11" w:type="dxa"/>
        </w:trPr>
        <w:tc>
          <w:tcPr>
            <w:tcW w:w="4973" w:type="pct"/>
            <w:gridSpan w:val="4"/>
          </w:tcPr>
          <w:p w:rsidR="00072C7C" w:rsidRPr="00E02285" w:rsidRDefault="00072C7C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072C7C" w:rsidRPr="00BE4F68" w:rsidRDefault="00072C7C" w:rsidP="007951A9">
      <w:pPr>
        <w:rPr>
          <w:rFonts w:cs="Arial"/>
          <w:sz w:val="24"/>
          <w:szCs w:val="24"/>
        </w:rPr>
      </w:pPr>
    </w:p>
    <w:sectPr w:rsidR="00072C7C" w:rsidRPr="00BE4F68" w:rsidSect="00D759B7">
      <w:headerReference w:type="even" r:id="rId7"/>
      <w:headerReference w:type="default" r:id="rId8"/>
      <w:footerReference w:type="even" r:id="rId9"/>
      <w:footerReference w:type="default" r:id="rId10"/>
      <w:pgSz w:w="11900" w:h="16840"/>
      <w:pgMar w:top="1134" w:right="1134" w:bottom="1134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2C7C" w:rsidRDefault="00072C7C" w:rsidP="00D759B7">
      <w:pPr>
        <w:spacing w:after="0" w:line="240" w:lineRule="auto"/>
      </w:pPr>
      <w:r>
        <w:separator/>
      </w:r>
    </w:p>
  </w:endnote>
  <w:endnote w:type="continuationSeparator" w:id="0">
    <w:p w:rsidR="00072C7C" w:rsidRDefault="00072C7C" w:rsidP="00D75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C7C" w:rsidRDefault="00072C7C" w:rsidP="00E422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72C7C" w:rsidRDefault="00072C7C" w:rsidP="00D759B7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C7C" w:rsidRDefault="00072C7C" w:rsidP="00E422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13</w:t>
    </w:r>
    <w:r>
      <w:rPr>
        <w:rStyle w:val="PageNumber"/>
      </w:rPr>
      <w:fldChar w:fldCharType="end"/>
    </w:r>
  </w:p>
  <w:p w:rsidR="00072C7C" w:rsidRPr="00D759B7" w:rsidRDefault="00072C7C" w:rsidP="00691642">
    <w:pPr>
      <w:pStyle w:val="Footer"/>
      <w:ind w:right="360"/>
      <w:jc w:val="center"/>
      <w:rPr>
        <w:lang w:val="el-G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2C7C" w:rsidRDefault="00072C7C" w:rsidP="00D759B7">
      <w:pPr>
        <w:spacing w:after="0" w:line="240" w:lineRule="auto"/>
      </w:pPr>
      <w:r>
        <w:separator/>
      </w:r>
    </w:p>
  </w:footnote>
  <w:footnote w:type="continuationSeparator" w:id="0">
    <w:p w:rsidR="00072C7C" w:rsidRDefault="00072C7C" w:rsidP="00D75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C7C" w:rsidRDefault="00072C7C" w:rsidP="00E4224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72C7C" w:rsidRDefault="00072C7C" w:rsidP="00D759B7">
    <w:pPr>
      <w:pStyle w:val="Header"/>
      <w:framePr w:wrap="around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72C7C" w:rsidRDefault="00072C7C" w:rsidP="00D759B7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C7C" w:rsidRDefault="00072C7C" w:rsidP="00D759B7">
    <w:pPr>
      <w:pStyle w:val="Header"/>
      <w:ind w:right="36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C0A13"/>
    <w:rsid w:val="0006569A"/>
    <w:rsid w:val="00072C7C"/>
    <w:rsid w:val="000966AE"/>
    <w:rsid w:val="000D6470"/>
    <w:rsid w:val="00106799"/>
    <w:rsid w:val="001318A6"/>
    <w:rsid w:val="00174F6F"/>
    <w:rsid w:val="001A58A4"/>
    <w:rsid w:val="001C1C5D"/>
    <w:rsid w:val="001D2E07"/>
    <w:rsid w:val="001F12B2"/>
    <w:rsid w:val="00262CE5"/>
    <w:rsid w:val="00284E99"/>
    <w:rsid w:val="002C0A13"/>
    <w:rsid w:val="002F1F1F"/>
    <w:rsid w:val="003324BA"/>
    <w:rsid w:val="0033787B"/>
    <w:rsid w:val="00341056"/>
    <w:rsid w:val="003555F5"/>
    <w:rsid w:val="00385418"/>
    <w:rsid w:val="003C5033"/>
    <w:rsid w:val="003F2A59"/>
    <w:rsid w:val="003F3770"/>
    <w:rsid w:val="00426A37"/>
    <w:rsid w:val="00456B37"/>
    <w:rsid w:val="00494FC5"/>
    <w:rsid w:val="004C7FF4"/>
    <w:rsid w:val="00503379"/>
    <w:rsid w:val="00524988"/>
    <w:rsid w:val="005D5317"/>
    <w:rsid w:val="00602DAC"/>
    <w:rsid w:val="00691642"/>
    <w:rsid w:val="006A06DC"/>
    <w:rsid w:val="006B71F2"/>
    <w:rsid w:val="00733F83"/>
    <w:rsid w:val="0075692C"/>
    <w:rsid w:val="0076441A"/>
    <w:rsid w:val="007644F0"/>
    <w:rsid w:val="007938C6"/>
    <w:rsid w:val="007951A9"/>
    <w:rsid w:val="007B79DF"/>
    <w:rsid w:val="007C36A0"/>
    <w:rsid w:val="00810A41"/>
    <w:rsid w:val="0083421A"/>
    <w:rsid w:val="00847DFA"/>
    <w:rsid w:val="0095088C"/>
    <w:rsid w:val="00A243BC"/>
    <w:rsid w:val="00A409B5"/>
    <w:rsid w:val="00A94192"/>
    <w:rsid w:val="00B210B2"/>
    <w:rsid w:val="00B25BA3"/>
    <w:rsid w:val="00B55A00"/>
    <w:rsid w:val="00BE4B55"/>
    <w:rsid w:val="00BE4F68"/>
    <w:rsid w:val="00C53F57"/>
    <w:rsid w:val="00C6194F"/>
    <w:rsid w:val="00D25BC0"/>
    <w:rsid w:val="00D2750A"/>
    <w:rsid w:val="00D37B9A"/>
    <w:rsid w:val="00D759B7"/>
    <w:rsid w:val="00DE4505"/>
    <w:rsid w:val="00E02285"/>
    <w:rsid w:val="00E16F17"/>
    <w:rsid w:val="00E42249"/>
    <w:rsid w:val="00E63D1E"/>
    <w:rsid w:val="00EA2102"/>
    <w:rsid w:val="00EC01ED"/>
    <w:rsid w:val="00F06E93"/>
    <w:rsid w:val="00F479AB"/>
    <w:rsid w:val="00F50FA9"/>
    <w:rsid w:val="00F51189"/>
    <w:rsid w:val="00F727D6"/>
    <w:rsid w:val="00FC1D0D"/>
    <w:rsid w:val="00FD0A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l-GR" w:eastAsia="el-G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after="200" w:line="276" w:lineRule="auto"/>
    </w:pPr>
    <w:rPr>
      <w:lang w:val="en-US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602DAC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02DAC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D759B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D759B7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759B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D759B7"/>
    <w:rPr>
      <w:rFonts w:cs="Times New Roman"/>
    </w:rPr>
  </w:style>
  <w:style w:type="character" w:styleId="PageNumber">
    <w:name w:val="page number"/>
    <w:basedOn w:val="DefaultParagraphFont"/>
    <w:uiPriority w:val="99"/>
    <w:semiHidden/>
    <w:rsid w:val="00D759B7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24</TotalTime>
  <Pages>14</Pages>
  <Words>2780</Words>
  <Characters>15015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66_13 (ADR).indd</dc:title>
  <dc:subject/>
  <dc:creator>gperg</dc:creator>
  <cp:keywords/>
  <dc:description/>
  <cp:lastModifiedBy>alikarnasos</cp:lastModifiedBy>
  <cp:revision>9</cp:revision>
  <dcterms:created xsi:type="dcterms:W3CDTF">2014-08-20T12:30:00Z</dcterms:created>
  <dcterms:modified xsi:type="dcterms:W3CDTF">2015-09-10T11:43:00Z</dcterms:modified>
</cp:coreProperties>
</file>