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INGEVIA Email Assistant — Summary of Recent Work</w:t>
      </w:r>
    </w:p>
    <w:p>
      <w:pPr>
        <w:spacing w:after="240"/>
      </w:pPr>
      <w:r>
        <w:rPr>
          <w:i/>
          <w:iCs/>
          <w:color w:val="666666"/>
        </w:rPr>
        <w:t xml:space="preserve">12 August 2026</w:t>
      </w:r>
    </w:p>
    <w:p>
      <w:pPr>
        <w:spacing w:after="240"/>
        <w:jc w:val="both"/>
      </w:pPr>
      <w:r>
        <w:t xml:space="preserve">Work over this engagement focused on making the automated email pipeline more reliable and better aligned with how the project archive is actually organized. The Outlook connection handling was consolidated into a single shared connection per run, eliminating the “Outlook ha agotado todos los recursos compartidos” resource-exhaustion errors, and the scheduled task was moved from continuous polling to a 05:30–20:00 business-hours window with a self-correcting lookback, so the first run each day automatically covers everything from the previous evening without a hardcoded overnight gap. Several classification and filing rules were also corrected: PLAINCO/PLENERGY folder names are now normalized consistently, an email mentioning two different Plenergy station codes is filed into both matching folders instead of only the first, Plenergy/DO Plenergy stations are now matched by code regardless of sender domain and can be traced back to prior years’ folders under their old branding, and each project’s correspondence (“CORREO”) subfolder is now detected by name rather than assumed to always be called “03.-CORREO,” since that numbering varies from project to project on the server.</w:t>
      </w:r>
    </w:p>
    <w:p>
      <w:pPr>
        <w:jc w:val="both"/>
      </w:pPr>
      <w:r>
        <w:t xml:space="preserve">Separately, three successive versions of a collaborator’s rewritten codebase were audited in full, catching real blocking bugs (a missing email-ingestion module and mismatched prompt filenames) and later confirming their resolution before they reached production. At your request, all handling of outgoing (SALIENTE) mail was removed from both the processing pipeline and the desktop UI, so only incoming mail is read, filed, or displayed going forward. The most significant recent finding was that a large share of email was landing in the “UNSORTED” holding folder — partly from Gemini API disconnections, but more significantly from a structural bug where single-site companies (with no address subfolders) could never be filed automatically even when correctly identified. Both issues were addressed: a standalone tool was built and tested that re-classifies everything already sitting in UNSORTED without reconnecting to Outlook, correctly filing or permanently deleting each entry and updating the tracking spreadsheet accordingly; and the underlying routing bug in the live pipeline was fixed and verified end-to-end, so single-site companies now file directly into their own folder going forward instead of always defaulting to the holding 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2026-08-12T06:50:25.139Z</dcterms:created>
  <dcterms:modified xsi:type="dcterms:W3CDTF">2026-08-12T06:50:25.140Z</dcterms:modified>
</cp:coreProperties>
</file>

<file path=docProps/custom.xml><?xml version="1.0" encoding="utf-8"?>
<Properties xmlns="http://schemas.openxmlformats.org/officeDocument/2006/custom-properties" xmlns:vt="http://schemas.openxmlformats.org/officeDocument/2006/docPropsVTypes"/>
</file>