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earch-participant-risk-assessment"/>
    <w:p>
      <w:pPr>
        <w:pStyle w:val="Heading1"/>
      </w:pPr>
      <w:r>
        <w:t xml:space="preserve">Research Participant Risk Assessment</w:t>
      </w:r>
    </w:p>
    <w:p>
      <w:pPr>
        <w:pStyle w:val="FirstParagraph"/>
      </w:pPr>
      <w:r>
        <w:rPr>
          <w:b/>
          <w:bCs/>
        </w:rPr>
        <w:t xml:space="preserve">Project:</w:t>
      </w:r>
      <w:r>
        <w:t xml:space="preserve"> </w:t>
      </w:r>
      <w:r>
        <w:t xml:space="preserve">Exploring Barriers, Motivations and Support for Sustainable Business Participation – CircuBee</w:t>
      </w:r>
      <w:r>
        <w:br/>
      </w:r>
      <w:r>
        <w:rPr>
          <w:b/>
          <w:bCs/>
        </w:rPr>
        <w:t xml:space="preserve">Researcher:</w:t>
      </w:r>
      <w:r>
        <w:t xml:space="preserve"> </w:t>
      </w:r>
      <w:r>
        <w:t xml:space="preserve">Kate Han, University of Salford</w:t>
      </w:r>
      <w:r>
        <w:br/>
      </w:r>
      <w:r>
        <w:rPr>
          <w:b/>
          <w:bCs/>
        </w:rPr>
        <w:t xml:space="preserve">School:</w:t>
      </w:r>
      <w:r>
        <w:t xml:space="preserve"> </w:t>
      </w:r>
      <w:r>
        <w:t xml:space="preserve">Salford Business School</w:t>
      </w:r>
      <w:r>
        <w:br/>
      </w:r>
      <w:r>
        <w:rPr>
          <w:b/>
          <w:bCs/>
        </w:rPr>
        <w:t xml:space="preserve">Date:</w:t>
      </w:r>
      <w:r>
        <w:t xml:space="preserve"> </w:t>
      </w:r>
      <w:r>
        <w:t xml:space="preserve">[Insert date]</w:t>
      </w:r>
      <w:r>
        <w:br/>
      </w:r>
      <w:r>
        <w:rPr>
          <w:b/>
          <w:bCs/>
        </w:rPr>
        <w:t xml:space="preserve">Ethics reference:</w:t>
      </w:r>
      <w:r>
        <w:t xml:space="preserve"> </w:t>
      </w:r>
      <w:r>
        <w:t xml:space="preserve">[Insert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w:t>
            </w:r>
          </w:p>
        </w:tc>
        <w:tc>
          <w:tcPr/>
          <w:p>
            <w:pPr>
              <w:pStyle w:val="Compact"/>
            </w:pPr>
            <w:r>
              <w:t xml:space="preserve">Who may be affected?</w:t>
            </w:r>
          </w:p>
        </w:tc>
        <w:tc>
          <w:tcPr/>
          <w:p>
            <w:pPr>
              <w:pStyle w:val="Compact"/>
            </w:pPr>
            <w:r>
              <w:t xml:space="preserve">Likelihood</w:t>
            </w:r>
          </w:p>
        </w:tc>
        <w:tc>
          <w:tcPr/>
          <w:p>
            <w:pPr>
              <w:pStyle w:val="Compact"/>
            </w:pPr>
            <w:r>
              <w:t xml:space="preserve">Potential impact</w:t>
            </w:r>
          </w:p>
        </w:tc>
        <w:tc>
          <w:tcPr/>
          <w:p>
            <w:pPr>
              <w:pStyle w:val="Compact"/>
            </w:pPr>
            <w:r>
              <w:t xml:space="preserve">Control / mitigation measures</w:t>
            </w:r>
          </w:p>
        </w:tc>
        <w:tc>
          <w:tcPr/>
          <w:p>
            <w:pPr>
              <w:pStyle w:val="Compact"/>
            </w:pPr>
            <w:r>
              <w:t xml:space="preserve">Residual risk</w:t>
            </w:r>
          </w:p>
        </w:tc>
      </w:tr>
      <w:tr>
        <w:tc>
          <w:tcPr/>
          <w:p>
            <w:pPr>
              <w:pStyle w:val="Compact"/>
            </w:pPr>
            <w:r>
              <w:t xml:space="preserve">Participant discloses personal, confidential or commercially sensitive information</w:t>
            </w:r>
          </w:p>
        </w:tc>
        <w:tc>
          <w:tcPr/>
          <w:p>
            <w:pPr>
              <w:pStyle w:val="Compact"/>
            </w:pPr>
            <w:r>
              <w:t xml:space="preserve">Participants / organisations</w:t>
            </w:r>
          </w:p>
        </w:tc>
        <w:tc>
          <w:tcPr/>
          <w:p>
            <w:pPr>
              <w:pStyle w:val="Compact"/>
            </w:pPr>
            <w:r>
              <w:t xml:space="preserve">Low</w:t>
            </w:r>
          </w:p>
        </w:tc>
        <w:tc>
          <w:tcPr/>
          <w:p>
            <w:pPr>
              <w:pStyle w:val="Compact"/>
            </w:pPr>
            <w:r>
              <w:t xml:space="preserve">Low–Medium</w:t>
            </w:r>
          </w:p>
        </w:tc>
        <w:tc>
          <w:tcPr/>
          <w:p>
            <w:pPr>
              <w:pStyle w:val="Compact"/>
            </w:pPr>
            <w:r>
              <w:t xml:space="preserve">Participants will be instructed not to provide confidential commercial or sensitive information. Data will be minimised and anonymised/pseudonymised where appropriate.</w:t>
            </w:r>
          </w:p>
        </w:tc>
        <w:tc>
          <w:tcPr/>
          <w:p>
            <w:pPr>
              <w:pStyle w:val="Compact"/>
            </w:pPr>
            <w:r>
              <w:t xml:space="preserve">Low</w:t>
            </w:r>
          </w:p>
        </w:tc>
      </w:tr>
      <w:tr>
        <w:tc>
          <w:tcPr/>
          <w:p>
            <w:pPr>
              <w:pStyle w:val="Compact"/>
            </w:pPr>
            <w:r>
              <w:t xml:space="preserve">Unauthorised access to research data</w:t>
            </w:r>
          </w:p>
        </w:tc>
        <w:tc>
          <w:tcPr/>
          <w:p>
            <w:pPr>
              <w:pStyle w:val="Compact"/>
            </w:pPr>
            <w:r>
              <w:t xml:space="preserve">Participants</w:t>
            </w:r>
          </w:p>
        </w:tc>
        <w:tc>
          <w:tcPr/>
          <w:p>
            <w:pPr>
              <w:pStyle w:val="Compact"/>
            </w:pPr>
            <w:r>
              <w:t xml:space="preserve">Low</w:t>
            </w:r>
          </w:p>
        </w:tc>
        <w:tc>
          <w:tcPr/>
          <w:p>
            <w:pPr>
              <w:pStyle w:val="Compact"/>
            </w:pPr>
            <w:r>
              <w:t xml:space="preserve">Medium</w:t>
            </w:r>
          </w:p>
        </w:tc>
        <w:tc>
          <w:tcPr/>
          <w:p>
            <w:pPr>
              <w:pStyle w:val="Compact"/>
            </w:pPr>
            <w:r>
              <w:t xml:space="preserve">Data will be stored using University-approved secure systems. Access will be restricted to authorised researchers. Identifiable information will be separated from research responses where applicable.</w:t>
            </w:r>
          </w:p>
        </w:tc>
        <w:tc>
          <w:tcPr/>
          <w:p>
            <w:pPr>
              <w:pStyle w:val="Compact"/>
            </w:pPr>
            <w:r>
              <w:t xml:space="preserve">Low</w:t>
            </w:r>
          </w:p>
        </w:tc>
      </w:tr>
      <w:tr>
        <w:tc>
          <w:tcPr/>
          <w:p>
            <w:pPr>
              <w:pStyle w:val="Compact"/>
            </w:pPr>
            <w:r>
              <w:t xml:space="preserve">Participant cannot withdraw their web-app response</w:t>
            </w:r>
          </w:p>
        </w:tc>
        <w:tc>
          <w:tcPr/>
          <w:p>
            <w:pPr>
              <w:pStyle w:val="Compact"/>
            </w:pPr>
            <w:r>
              <w:t xml:space="preserve">Participants</w:t>
            </w:r>
          </w:p>
        </w:tc>
        <w:tc>
          <w:tcPr/>
          <w:p>
            <w:pPr>
              <w:pStyle w:val="Compact"/>
            </w:pPr>
            <w:r>
              <w:t xml:space="preserve">Low</w:t>
            </w:r>
          </w:p>
        </w:tc>
        <w:tc>
          <w:tcPr/>
          <w:p>
            <w:pPr>
              <w:pStyle w:val="Compact"/>
            </w:pPr>
            <w:r>
              <w:t xml:space="preserve">Low</w:t>
            </w:r>
          </w:p>
        </w:tc>
        <w:tc>
          <w:tcPr/>
          <w:p>
            <w:pPr>
              <w:pStyle w:val="Compact"/>
            </w:pPr>
            <w:r>
              <w:t xml:space="preserve">Each web-app submission will receive a unique Response ID. Participants will be informed to retain the ID and can use it to request withdrawal before the data are anonymised.</w:t>
            </w:r>
          </w:p>
        </w:tc>
        <w:tc>
          <w:tcPr/>
          <w:p>
            <w:pPr>
              <w:pStyle w:val="Compact"/>
            </w:pPr>
            <w:r>
              <w:t xml:space="preserve">Low</w:t>
            </w:r>
          </w:p>
        </w:tc>
      </w:tr>
      <w:tr>
        <w:tc>
          <w:tcPr/>
          <w:p>
            <w:pPr>
              <w:pStyle w:val="Compact"/>
            </w:pPr>
            <w:r>
              <w:t xml:space="preserve">Participant experiences minor discomfort discussing business barriers, costs or sustainability challenges</w:t>
            </w:r>
          </w:p>
        </w:tc>
        <w:tc>
          <w:tcPr/>
          <w:p>
            <w:pPr>
              <w:pStyle w:val="Compact"/>
            </w:pPr>
            <w:r>
              <w:t xml:space="preserve">Participants</w:t>
            </w:r>
          </w:p>
        </w:tc>
        <w:tc>
          <w:tcPr/>
          <w:p>
            <w:pPr>
              <w:pStyle w:val="Compact"/>
            </w:pPr>
            <w:r>
              <w:t xml:space="preserve">Low</w:t>
            </w:r>
          </w:p>
        </w:tc>
        <w:tc>
          <w:tcPr/>
          <w:p>
            <w:pPr>
              <w:pStyle w:val="Compact"/>
            </w:pPr>
            <w:r>
              <w:t xml:space="preserve">Low</w:t>
            </w:r>
          </w:p>
        </w:tc>
        <w:tc>
          <w:tcPr/>
          <w:p>
            <w:pPr>
              <w:pStyle w:val="Compact"/>
            </w:pPr>
            <w:r>
              <w:t xml:space="preserve">Participants may skip any question and may stop participating at any time without giving a reason. Questions will focus on general experiences and views rather than sensitive personal matters.</w:t>
            </w:r>
          </w:p>
        </w:tc>
        <w:tc>
          <w:tcPr/>
          <w:p>
            <w:pPr>
              <w:pStyle w:val="Compact"/>
            </w:pPr>
            <w:r>
              <w:t xml:space="preserve">Low</w:t>
            </w:r>
          </w:p>
        </w:tc>
      </w:tr>
      <w:tr>
        <w:tc>
          <w:tcPr/>
          <w:p>
            <w:pPr>
              <w:pStyle w:val="Compact"/>
            </w:pPr>
            <w:r>
              <w:t xml:space="preserve">Confidentiality cannot be guaranteed in a focus-group setting</w:t>
            </w:r>
          </w:p>
        </w:tc>
        <w:tc>
          <w:tcPr/>
          <w:p>
            <w:pPr>
              <w:pStyle w:val="Compact"/>
            </w:pPr>
            <w:r>
              <w:t xml:space="preserve">Focus-group participants</w:t>
            </w:r>
          </w:p>
        </w:tc>
        <w:tc>
          <w:tcPr/>
          <w:p>
            <w:pPr>
              <w:pStyle w:val="Compact"/>
            </w:pPr>
            <w:r>
              <w:t xml:space="preserve">Low</w:t>
            </w:r>
          </w:p>
        </w:tc>
        <w:tc>
          <w:tcPr/>
          <w:p>
            <w:pPr>
              <w:pStyle w:val="Compact"/>
            </w:pPr>
            <w:r>
              <w:t xml:space="preserve">Medium</w:t>
            </w:r>
          </w:p>
        </w:tc>
        <w:tc>
          <w:tcPr/>
          <w:p>
            <w:pPr>
              <w:pStyle w:val="Compact"/>
            </w:pPr>
            <w:r>
              <w:t xml:space="preserve">Participants will be informed before consent that other participants will hear the discussion. They will be asked to respect the confidentiality of information shared by others. Sensitive or identifying information will not be encouraged.</w:t>
            </w:r>
          </w:p>
        </w:tc>
        <w:tc>
          <w:tcPr/>
          <w:p>
            <w:pPr>
              <w:pStyle w:val="Compact"/>
            </w:pPr>
            <w:r>
              <w:t xml:space="preserve">Low</w:t>
            </w:r>
          </w:p>
        </w:tc>
      </w:tr>
      <w:tr>
        <w:tc>
          <w:tcPr/>
          <w:p>
            <w:pPr>
              <w:pStyle w:val="Compact"/>
            </w:pPr>
            <w:r>
              <w:t xml:space="preserve">Participant feels pressured to participate because of their employment or relationship with the University</w:t>
            </w:r>
          </w:p>
        </w:tc>
        <w:tc>
          <w:tcPr/>
          <w:p>
            <w:pPr>
              <w:pStyle w:val="Compact"/>
            </w:pPr>
            <w:r>
              <w:t xml:space="preserve">University staff participants</w:t>
            </w:r>
          </w:p>
        </w:tc>
        <w:tc>
          <w:tcPr/>
          <w:p>
            <w:pPr>
              <w:pStyle w:val="Compact"/>
            </w:pPr>
            <w:r>
              <w:t xml:space="preserve">Low</w:t>
            </w:r>
          </w:p>
        </w:tc>
        <w:tc>
          <w:tcPr/>
          <w:p>
            <w:pPr>
              <w:pStyle w:val="Compact"/>
            </w:pPr>
            <w:r>
              <w:t xml:space="preserve">Low</w:t>
            </w:r>
          </w:p>
        </w:tc>
        <w:tc>
          <w:tcPr/>
          <w:p>
            <w:pPr>
              <w:pStyle w:val="Compact"/>
            </w:pPr>
            <w:r>
              <w:t xml:space="preserve">Participation will be voluntary. The researcher will not use managerial or assessment authority over participants. Recruitment materials and consent information will state that participation or non-participation will have no effect on employment, assessment or access to services.</w:t>
            </w:r>
          </w:p>
        </w:tc>
        <w:tc>
          <w:tcPr/>
          <w:p>
            <w:pPr>
              <w:pStyle w:val="Compact"/>
            </w:pPr>
            <w:r>
              <w:t xml:space="preserve">Low</w:t>
            </w:r>
          </w:p>
        </w:tc>
      </w:tr>
      <w:tr>
        <w:tc>
          <w:tcPr/>
          <w:p>
            <w:pPr>
              <w:pStyle w:val="Compact"/>
            </w:pPr>
            <w:r>
              <w:t xml:space="preserve">Financial incentive creates inappropriate pressure to participate</w:t>
            </w:r>
          </w:p>
        </w:tc>
        <w:tc>
          <w:tcPr/>
          <w:p>
            <w:pPr>
              <w:pStyle w:val="Compact"/>
            </w:pPr>
            <w:r>
              <w:t xml:space="preserve">Festival focus-group participants</w:t>
            </w:r>
          </w:p>
        </w:tc>
        <w:tc>
          <w:tcPr/>
          <w:p>
            <w:pPr>
              <w:pStyle w:val="Compact"/>
            </w:pPr>
            <w:r>
              <w:t xml:space="preserve">Low</w:t>
            </w:r>
          </w:p>
        </w:tc>
        <w:tc>
          <w:tcPr/>
          <w:p>
            <w:pPr>
              <w:pStyle w:val="Compact"/>
            </w:pPr>
            <w:r>
              <w:t xml:space="preserve">Low</w:t>
            </w:r>
          </w:p>
        </w:tc>
        <w:tc>
          <w:tcPr/>
          <w:p>
            <w:pPr>
              <w:pStyle w:val="Compact"/>
            </w:pPr>
            <w:r>
              <w:t xml:space="preserve">The Amazon voucher will be of limited value and proportionate to the time required. The incentive will be explained before consent and will not depend on participants providing particular answers.</w:t>
            </w:r>
          </w:p>
        </w:tc>
        <w:tc>
          <w:tcPr/>
          <w:p>
            <w:pPr>
              <w:pStyle w:val="Compact"/>
            </w:pPr>
            <w:r>
              <w:t xml:space="preserve">Low</w:t>
            </w:r>
          </w:p>
        </w:tc>
      </w:tr>
      <w:tr>
        <w:tc>
          <w:tcPr/>
          <w:p>
            <w:pPr>
              <w:pStyle w:val="Compact"/>
            </w:pPr>
            <w:r>
              <w:t xml:space="preserve">Accessibility or communication difficulties prevent informed consent</w:t>
            </w:r>
          </w:p>
        </w:tc>
        <w:tc>
          <w:tcPr/>
          <w:p>
            <w:pPr>
              <w:pStyle w:val="Compact"/>
            </w:pPr>
            <w:r>
              <w:t xml:space="preserve">Participants with additional communication needs</w:t>
            </w:r>
          </w:p>
        </w:tc>
        <w:tc>
          <w:tcPr/>
          <w:p>
            <w:pPr>
              <w:pStyle w:val="Compact"/>
            </w:pPr>
            <w:r>
              <w:t xml:space="preserve">Low</w:t>
            </w:r>
          </w:p>
        </w:tc>
        <w:tc>
          <w:tcPr/>
          <w:p>
            <w:pPr>
              <w:pStyle w:val="Compact"/>
            </w:pPr>
            <w:r>
              <w:t xml:space="preserve">Low</w:t>
            </w:r>
          </w:p>
        </w:tc>
        <w:tc>
          <w:tcPr/>
          <w:p>
            <w:pPr>
              <w:pStyle w:val="Compact"/>
            </w:pPr>
            <w:r>
              <w:t xml:space="preserve">Information will use clear language. Participants will have time to read the PIS and ask questions. Reasonable adjustments and alternative accessible formats will be provided where practicable.</w:t>
            </w:r>
          </w:p>
        </w:tc>
        <w:tc>
          <w:tcPr/>
          <w:p>
            <w:pPr>
              <w:pStyle w:val="Compact"/>
            </w:pPr>
            <w:r>
              <w:t xml:space="preserve">Low</w:t>
            </w:r>
          </w:p>
        </w:tc>
      </w:tr>
      <w:tr>
        <w:tc>
          <w:tcPr/>
          <w:p>
            <w:pPr>
              <w:pStyle w:val="Compact"/>
            </w:pPr>
            <w:r>
              <w:t xml:space="preserve">Loss or accidental disclosure of data during transfer or processing</w:t>
            </w:r>
          </w:p>
        </w:tc>
        <w:tc>
          <w:tcPr/>
          <w:p>
            <w:pPr>
              <w:pStyle w:val="Compact"/>
            </w:pPr>
            <w:r>
              <w:t xml:space="preserve">Participants</w:t>
            </w:r>
          </w:p>
        </w:tc>
        <w:tc>
          <w:tcPr/>
          <w:p>
            <w:pPr>
              <w:pStyle w:val="Compact"/>
            </w:pPr>
            <w:r>
              <w:t xml:space="preserve">Low</w:t>
            </w:r>
          </w:p>
        </w:tc>
        <w:tc>
          <w:tcPr/>
          <w:p>
            <w:pPr>
              <w:pStyle w:val="Compact"/>
            </w:pPr>
            <w:r>
              <w:t xml:space="preserve">Medium</w:t>
            </w:r>
          </w:p>
        </w:tc>
        <w:tc>
          <w:tcPr/>
          <w:p>
            <w:pPr>
              <w:pStyle w:val="Compact"/>
            </w:pPr>
            <w:r>
              <w:t xml:space="preserve">Data will be transferred using secure systems and stored on approved University infrastructure. Personal data will not be transferred using unsecured channels.</w:t>
            </w:r>
          </w:p>
        </w:tc>
        <w:tc>
          <w:tcPr/>
          <w:p>
            <w:pPr>
              <w:pStyle w:val="Compact"/>
            </w:pPr>
            <w:r>
              <w:t xml:space="preserve">Low</w:t>
            </w:r>
          </w:p>
        </w:tc>
      </w:tr>
    </w:tbl>
    <w:bookmarkStart w:id="9" w:name="overall-risk-assessment"/>
    <w:p>
      <w:pPr>
        <w:pStyle w:val="Heading2"/>
      </w:pPr>
      <w:r>
        <w:t xml:space="preserve">Overall risk assessment</w:t>
      </w:r>
    </w:p>
    <w:p>
      <w:pPr>
        <w:pStyle w:val="FirstParagraph"/>
      </w:pPr>
      <w:r>
        <w:t xml:space="preserve">The project is considered to present</w:t>
      </w:r>
      <w:r>
        <w:t xml:space="preserve"> </w:t>
      </w:r>
      <w:r>
        <w:rPr>
          <w:b/>
          <w:bCs/>
        </w:rPr>
        <w:t xml:space="preserve">low overall risk</w:t>
      </w:r>
      <w:r>
        <w:t xml:space="preserve"> </w:t>
      </w:r>
      <w:r>
        <w:t xml:space="preserve">to participants. No significant physical, psychological, political or reputational risks are anticipated.</w:t>
      </w:r>
    </w:p>
    <w:p>
      <w:pPr>
        <w:pStyle w:val="BodyText"/>
      </w:pPr>
      <w:r>
        <w:t xml:space="preserve">The main risks relate to confidentiality, data protection and the possibility of minor discomfort when discussing business barriers or sustainability challenges. These risks will be mitigated through informed consent, data minimisation, secure storage, controlled access, anonymisation/pseudonymisation and participants’ right to decline questions or withdraw.</w:t>
      </w:r>
    </w:p>
    <w:p>
      <w:pPr>
        <w:pStyle w:val="BodyText"/>
      </w:pPr>
      <w:r>
        <w:t xml:space="preserve">The Festival focus group will involve an additional confidentiality limitation because participants will hear the contributions of other participants. This will be clearly explained during the consent process.</w:t>
      </w:r>
    </w:p>
    <w:p>
      <w:pPr>
        <w:pStyle w:val="BodyText"/>
      </w:pPr>
      <w:r>
        <w:t xml:space="preserve">The researcher will review the risk assessment if there are significant changes to the research methodology, participant group, data collected or data-processing arrangements.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