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8182213"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2D7C61"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Pr="00FB38D1">
        <w:rPr>
          <w:rFonts w:ascii="华文楷体" w:eastAsia="华文楷体" w:hAnsi="华文楷体" w:hint="eastAsia"/>
          <w:color w:val="E36C0A" w:themeColor="accent6" w:themeShade="BF"/>
          <w:sz w:val="24"/>
          <w:szCs w:val="24"/>
        </w:rPr>
        <w:t>查询</w:t>
      </w:r>
      <w:r>
        <w:rPr>
          <w:rFonts w:ascii="华文楷体" w:eastAsia="华文楷体" w:hAnsi="华文楷体" w:hint="eastAsia"/>
          <w:sz w:val="24"/>
          <w:szCs w:val="24"/>
        </w:rPr>
        <w:t>操作是为后续的添加或</w:t>
      </w:r>
      <w:r w:rsidRPr="0090035D">
        <w:rPr>
          <w:rFonts w:ascii="华文楷体" w:eastAsia="华文楷体" w:hAnsi="华文楷体" w:hint="eastAsia"/>
          <w:color w:val="F79646" w:themeColor="accent6"/>
          <w:sz w:val="24"/>
          <w:szCs w:val="24"/>
        </w:rPr>
        <w:t>导入、删除、修改、注销、恢复、导出</w:t>
      </w:r>
      <w:r>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招商人员手动录入或导入招商信息，生成招商信息库，每条招商记录应该包括如下信息: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p>
    <w:p w:rsidR="009A2CEB"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商户名称、</w:t>
      </w:r>
    </w:p>
    <w:p w:rsidR="009A2CEB" w:rsidRPr="009925E7" w:rsidRDefault="009A2CEB" w:rsidP="009A2CEB">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经营品牌、经销级别（总代理还是厂家直销）</w:t>
      </w:r>
    </w:p>
    <w:p w:rsidR="002D7C61" w:rsidRPr="009925E7" w:rsidRDefault="002D7C61" w:rsidP="002D7C61">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商户或厂家所在地、联系人、联系方法、商户网址</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招商信息的来源，需求意向（价位区间，面积区间）</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是否缴纳保证金，保证金金额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是否缴纳诚意金，诚意金金额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招商记录状态（已删除、待确认、已确认、待评审、准商户、正式商户）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在手动录入单条招商信息的过程中，在输入助记符后，会给出提示，该助记符是否可用或已经被占用，防止重复。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D7C61" w:rsidRDefault="002D7C61" w:rsidP="002D7C61">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商户编号属于系统增量，无法作为区分标识，故只可通过助记符来实现区分，其也被作为检索条件。</w:t>
      </w:r>
    </w:p>
    <w:p w:rsidR="002D7C61" w:rsidRPr="00987189"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2D7C61" w:rsidRPr="006C00F4"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2D7C61" w:rsidRPr="00D603ED"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通过查询获取已确认的招商信息，并进行进一步筛选，选中一批招商信息，将其列入待评审的范围。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w:t>
      </w:r>
      <w:r>
        <w:rPr>
          <w:rFonts w:ascii="华文楷体" w:eastAsia="华文楷体" w:hAnsi="华文楷体" w:hint="eastAsia"/>
          <w:sz w:val="24"/>
          <w:szCs w:val="24"/>
        </w:rPr>
        <w:lastRenderedPageBreak/>
        <w:t>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某招商信息仅可被其对应的录入人或更高权限的人来修改，其他人无权维护。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lastRenderedPageBreak/>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8182214"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2D7C61"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商户的基本信息（详见如上）：</w:t>
      </w:r>
    </w:p>
    <w:p w:rsidR="002D7C61"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主要是招商时录入的商户资质信息，其实就是商户的基本信息，这部分</w:t>
      </w:r>
    </w:p>
    <w:p w:rsidR="002D7C61" w:rsidRPr="00076665"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2D7C61" w:rsidRDefault="002D7C61" w:rsidP="002D7C61">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Pr>
          <w:rFonts w:ascii="华文楷体" w:eastAsia="华文楷体" w:hAnsi="华文楷体" w:hint="eastAsia"/>
          <w:sz w:val="24"/>
          <w:szCs w:val="24"/>
        </w:rPr>
        <w:t>（详见商户管理）：</w:t>
      </w:r>
    </w:p>
    <w:p w:rsidR="002D7C61" w:rsidRDefault="002D7C61" w:rsidP="002D7C61">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一般和商户的资质信息无关，只是属于和商户有关的一系列明细，当然如果在招商审核对这部分信息有需要，则也</w:t>
      </w:r>
      <w:r>
        <w:rPr>
          <w:rFonts w:ascii="华文楷体" w:eastAsia="华文楷体" w:hAnsi="华文楷体" w:hint="eastAsia"/>
          <w:sz w:val="24"/>
          <w:szCs w:val="24"/>
        </w:rPr>
        <w:t>可以对其进行录入。不过这部分信息一般都是在成为正式商户后，对该商户进行后补充的。</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商户的证照信息（详见商户管理）：</w:t>
      </w:r>
    </w:p>
    <w:p w:rsidR="002D7C61" w:rsidRDefault="002D7C61" w:rsidP="002D7C61">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（例如：经营执照等），个性化的各种证照。前者便于管理，放于商户的基本信息或明细信息中均可以；后者只可个性化管理，即为指定商户添加新的证照记录并对其进行维护。</w:t>
      </w:r>
    </w:p>
    <w:p w:rsidR="002D7C61" w:rsidRPr="002A4C4F" w:rsidRDefault="002D7C61" w:rsidP="002D7C61">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Pr="0035640C">
        <w:rPr>
          <w:rFonts w:ascii="华文楷体" w:eastAsia="华文楷体" w:hAnsi="华文楷体" w:cstheme="minorBidi" w:hint="eastAsia"/>
          <w:sz w:val="24"/>
          <w:szCs w:val="24"/>
        </w:rPr>
        <w:t>关系为1 : 1 : N</w:t>
      </w:r>
      <w:r>
        <w:rPr>
          <w:rFonts w:ascii="华文楷体" w:eastAsia="华文楷体" w:hAnsi="华文楷体" w:cstheme="minorBidi" w:hint="eastAsia"/>
          <w:sz w:val="24"/>
          <w:szCs w:val="24"/>
        </w:rPr>
        <w:t>！</w:t>
      </w:r>
    </w:p>
    <w:p w:rsidR="002D7C61" w:rsidRPr="0054632F" w:rsidRDefault="002D7C61" w:rsidP="002D7C61">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Pr="0054632F">
        <w:rPr>
          <w:rFonts w:ascii="华文楷体" w:eastAsia="华文楷体" w:hAnsi="华文楷体" w:hint="eastAsia"/>
          <w:sz w:val="24"/>
          <w:szCs w:val="24"/>
        </w:rPr>
        <w:t>系统增量的形式出现，即使重名商户也无法用其区分，解决方法如下：</w:t>
      </w:r>
    </w:p>
    <w:p w:rsidR="002D7C61" w:rsidRDefault="002D7C61" w:rsidP="002D7C61">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Pr="0054632F">
        <w:rPr>
          <w:rFonts w:ascii="华文楷体" w:eastAsia="华文楷体" w:hAnsi="华文楷体" w:hint="eastAsia"/>
          <w:sz w:val="24"/>
          <w:szCs w:val="24"/>
        </w:rPr>
        <w:t>（</w:t>
      </w:r>
      <w:r w:rsidRPr="00B51EEB">
        <w:rPr>
          <w:rFonts w:ascii="华文楷体" w:eastAsia="华文楷体" w:hAnsi="华文楷体" w:hint="eastAsia"/>
          <w:color w:val="000000" w:themeColor="text1"/>
          <w:sz w:val="24"/>
          <w:szCs w:val="24"/>
        </w:rPr>
        <w:t>类似注册邮箱时的现有名称提示</w:t>
      </w:r>
      <w:r w:rsidRPr="0054632F">
        <w:rPr>
          <w:rFonts w:ascii="华文楷体" w:eastAsia="华文楷体" w:hAnsi="华文楷体" w:hint="eastAsia"/>
          <w:sz w:val="24"/>
          <w:szCs w:val="24"/>
        </w:rPr>
        <w:t>）</w:t>
      </w:r>
    </w:p>
    <w:p w:rsidR="002D7C61" w:rsidRPr="00C527DD" w:rsidRDefault="002D7C61" w:rsidP="002D7C61">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8182215"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D7C61"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r w:rsidR="00F1491E">
        <w:rPr>
          <w:rFonts w:ascii="华文楷体" w:eastAsia="华文楷体" w:hAnsi="华文楷体" w:hint="eastAsia"/>
          <w:sz w:val="24"/>
          <w:szCs w:val="24"/>
        </w:rPr>
        <w:t>。</w:t>
      </w:r>
    </w:p>
    <w:p w:rsidR="00F1491E" w:rsidRPr="00B51EEB" w:rsidRDefault="00F1491E" w:rsidP="00F1491E">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具体保证进入和处理，属于业务流程，完全由卖场决定，系统中主要做好记录就行</w:t>
      </w:r>
      <w:r w:rsidR="00CE6FD5">
        <w:rPr>
          <w:rFonts w:ascii="华文楷体" w:eastAsia="华文楷体" w:hAnsi="华文楷体" w:hint="eastAsia"/>
          <w:sz w:val="24"/>
          <w:szCs w:val="24"/>
        </w:rPr>
        <w:t>，如何使用不用考虑。</w:t>
      </w:r>
    </w:p>
    <w:p w:rsidR="002D7C61" w:rsidRPr="00625463"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2D7C61" w:rsidRPr="00F61240"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2D7C61" w:rsidRPr="003703B2" w:rsidRDefault="002D7C61" w:rsidP="002D7C61">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2D7C61" w:rsidRPr="004C7DCC" w:rsidRDefault="002D7C61" w:rsidP="002D7C61">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2D7C61" w:rsidRPr="00C0169C" w:rsidRDefault="002D7C61" w:rsidP="002D7C61"/>
    <w:p w:rsidR="003959C2" w:rsidRPr="002D7C61" w:rsidRDefault="003959C2" w:rsidP="002D7C61">
      <w:pPr>
        <w:rPr>
          <w:szCs w:val="24"/>
        </w:rPr>
      </w:pPr>
    </w:p>
    <w:sectPr w:rsidR="003959C2" w:rsidRPr="002D7C61"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50C" w:rsidRDefault="00B7650C" w:rsidP="00E846A9">
      <w:r>
        <w:separator/>
      </w:r>
    </w:p>
  </w:endnote>
  <w:endnote w:type="continuationSeparator" w:id="0">
    <w:p w:rsidR="00B7650C" w:rsidRDefault="00B7650C"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444A50">
        <w:pPr>
          <w:pStyle w:val="a9"/>
          <w:jc w:val="center"/>
        </w:pPr>
        <w:r>
          <w:fldChar w:fldCharType="begin"/>
        </w:r>
        <w:r w:rsidR="00AD6878">
          <w:instrText xml:space="preserve"> PAGE   \* MERGEFORMAT </w:instrText>
        </w:r>
        <w:r>
          <w:fldChar w:fldCharType="separate"/>
        </w:r>
        <w:r w:rsidR="00FB38D1" w:rsidRPr="00FB38D1">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50C" w:rsidRDefault="00B7650C" w:rsidP="00E846A9">
      <w:r>
        <w:separator/>
      </w:r>
    </w:p>
  </w:footnote>
  <w:footnote w:type="continuationSeparator" w:id="0">
    <w:p w:rsidR="00B7650C" w:rsidRDefault="00B7650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69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D7C61"/>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4A50"/>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25E7"/>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480D"/>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650C"/>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6FD5"/>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8D1"/>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3863F-51C8-425D-8F7D-40EF562D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14</Pages>
  <Words>806</Words>
  <Characters>4599</Characters>
  <Application>Microsoft Office Word</Application>
  <DocSecurity>0</DocSecurity>
  <Lines>38</Lines>
  <Paragraphs>10</Paragraphs>
  <ScaleCrop>false</ScaleCrop>
  <Company>Peking University</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856</cp:revision>
  <dcterms:created xsi:type="dcterms:W3CDTF">2009-12-23T03:54:00Z</dcterms:created>
  <dcterms:modified xsi:type="dcterms:W3CDTF">2010-02-20T06:44:00Z</dcterms:modified>
</cp:coreProperties>
</file>