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left"/>
      </w:pPr>
      <w:r>
        <w:rPr>
          <w:rFonts w:ascii="Aptos Display" w:hAnsi="Aptos Display"/>
          <w:b/>
          <w:color w:val="4F7CFF"/>
          <w:sz w:val="28"/>
        </w:rPr>
        <w:t>COMPUTEBESTSPECS</w:t>
      </w:r>
    </w:p>
    <w:p>
      <w:pPr>
        <w:spacing w:before="200"/>
      </w:pPr>
      <w:r>
        <w:rPr>
          <w:rFonts w:ascii="Aptos Display" w:hAnsi="Aptos Display"/>
          <w:b/>
          <w:color w:val="0B1220"/>
          <w:sz w:val="60"/>
        </w:rPr>
        <w:t>Product &amp; Experience Specification</w:t>
      </w:r>
    </w:p>
    <w:p>
      <w:r>
        <w:rPr>
          <w:color w:val="475569"/>
          <w:sz w:val="28"/>
        </w:rPr>
        <w:t>Product strategy, information architecture, visual system, UX flows, motion, sharing, monetization, and future features</w:t>
      </w:r>
    </w:p>
    <w:p>
      <w:pPr>
        <w:spacing w:before="480"/>
      </w:pPr>
      <w:r>
        <w:rPr>
          <w:color w:val="64748B"/>
          <w:sz w:val="20"/>
        </w:rPr>
        <w:t>Working specification • September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7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1220"/>
              </w:rPr>
              <w:t>Purpose</w:t>
              <w:br/>
            </w:r>
            <w:r>
              <w:rPr>
                <w:color w:val="475569"/>
              </w:rPr>
              <w:t>A consolidated product, design, engineering, data, trust, monetization, and roadmap specification derived from the complete ComputeBestSpecs design discussion.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  <w:color w:val="0B1220"/>
        </w:rPr>
        <w:t>1  Product Thesis</w:t>
      </w:r>
    </w:p>
    <w:p>
      <w:pPr>
        <w:spacing w:after="40"/>
      </w:pPr>
      <w:r>
        <w:rPr>
          <w:b/>
          <w:color w:val="0B1220"/>
        </w:rPr>
        <w:t>2  Audience &amp; Jobs to Be Done</w:t>
      </w:r>
    </w:p>
    <w:p>
      <w:pPr>
        <w:spacing w:after="40"/>
      </w:pPr>
      <w:r>
        <w:rPr>
          <w:b/>
          <w:color w:val="0B1220"/>
        </w:rPr>
        <w:t>3  Product Modes</w:t>
      </w:r>
    </w:p>
    <w:p>
      <w:pPr>
        <w:spacing w:after="40"/>
      </w:pPr>
      <w:r>
        <w:rPr>
          <w:b/>
          <w:color w:val="0B1220"/>
        </w:rPr>
        <w:t>4  Information Architecture</w:t>
      </w:r>
    </w:p>
    <w:p>
      <w:pPr>
        <w:spacing w:after="40"/>
      </w:pPr>
      <w:r>
        <w:rPr>
          <w:b/>
          <w:color w:val="0B1220"/>
        </w:rPr>
        <w:t>5  Core UX Principles</w:t>
      </w:r>
    </w:p>
    <w:p>
      <w:pPr>
        <w:spacing w:after="40"/>
      </w:pPr>
      <w:r>
        <w:rPr>
          <w:b/>
          <w:color w:val="0B1220"/>
        </w:rPr>
        <w:t>6  Visual Design System</w:t>
      </w:r>
    </w:p>
    <w:p>
      <w:pPr>
        <w:spacing w:after="40"/>
      </w:pPr>
      <w:r>
        <w:rPr>
          <w:b/>
          <w:color w:val="0B1220"/>
        </w:rPr>
        <w:t>7  Homepage &amp; Onboarding</w:t>
      </w:r>
    </w:p>
    <w:p>
      <w:pPr>
        <w:spacing w:after="40"/>
      </w:pPr>
      <w:r>
        <w:rPr>
          <w:b/>
          <w:color w:val="0B1220"/>
        </w:rPr>
        <w:t>8  PC Input Experience</w:t>
      </w:r>
    </w:p>
    <w:p>
      <w:pPr>
        <w:spacing w:after="40"/>
      </w:pPr>
      <w:r>
        <w:rPr>
          <w:b/>
          <w:color w:val="0B1220"/>
        </w:rPr>
        <w:t>9  Workload Builder</w:t>
      </w:r>
    </w:p>
    <w:p>
      <w:pPr>
        <w:spacing w:after="40"/>
      </w:pPr>
      <w:r>
        <w:rPr>
          <w:b/>
          <w:color w:val="0B1220"/>
        </w:rPr>
        <w:t>10  Results Experience</w:t>
      </w:r>
    </w:p>
    <w:p>
      <w:pPr>
        <w:spacing w:after="40"/>
      </w:pPr>
      <w:r>
        <w:rPr>
          <w:b/>
          <w:color w:val="0B1220"/>
        </w:rPr>
        <w:t>11  What-If &amp; Stress Simulator</w:t>
      </w:r>
    </w:p>
    <w:p>
      <w:pPr>
        <w:spacing w:after="40"/>
      </w:pPr>
      <w:r>
        <w:rPr>
          <w:b/>
          <w:color w:val="0B1220"/>
        </w:rPr>
        <w:t>12  Local AI / LLM Experience</w:t>
      </w:r>
    </w:p>
    <w:p>
      <w:pPr>
        <w:spacing w:after="40"/>
      </w:pPr>
      <w:r>
        <w:rPr>
          <w:b/>
          <w:color w:val="0B1220"/>
        </w:rPr>
        <w:t>13  Comparison &amp; Recommendation UX</w:t>
      </w:r>
    </w:p>
    <w:p>
      <w:pPr>
        <w:spacing w:after="40"/>
      </w:pPr>
      <w:r>
        <w:rPr>
          <w:b/>
          <w:color w:val="0B1220"/>
        </w:rPr>
        <w:t>14  Sharing, PDF, QR &amp; Email</w:t>
      </w:r>
    </w:p>
    <w:p>
      <w:pPr>
        <w:spacing w:after="40"/>
      </w:pPr>
      <w:r>
        <w:rPr>
          <w:b/>
          <w:color w:val="0B1220"/>
        </w:rPr>
        <w:t>15  Accounts &amp; Dashboard</w:t>
      </w:r>
    </w:p>
    <w:p>
      <w:pPr>
        <w:spacing w:after="40"/>
      </w:pPr>
      <w:r>
        <w:rPr>
          <w:b/>
          <w:color w:val="0B1220"/>
        </w:rPr>
        <w:t>16  Monetization &amp; Entitlements</w:t>
      </w:r>
    </w:p>
    <w:p>
      <w:pPr>
        <w:spacing w:after="40"/>
      </w:pPr>
      <w:r>
        <w:rPr>
          <w:b/>
          <w:color w:val="0B1220"/>
        </w:rPr>
        <w:t>17  Business / Fleet UX</w:t>
      </w:r>
    </w:p>
    <w:p>
      <w:pPr>
        <w:spacing w:after="40"/>
      </w:pPr>
      <w:r>
        <w:rPr>
          <w:b/>
          <w:color w:val="0B1220"/>
        </w:rPr>
        <w:t>18  Motion System</w:t>
      </w:r>
    </w:p>
    <w:p>
      <w:pPr>
        <w:spacing w:after="40"/>
      </w:pPr>
      <w:r>
        <w:rPr>
          <w:b/>
          <w:color w:val="0B1220"/>
        </w:rPr>
        <w:t>19  Accessibility &amp; Responsive Design</w:t>
      </w:r>
    </w:p>
    <w:p>
      <w:pPr>
        <w:spacing w:after="40"/>
      </w:pPr>
      <w:r>
        <w:rPr>
          <w:b/>
          <w:color w:val="0B1220"/>
        </w:rPr>
        <w:t>20  Trust, Evidence &amp; Confidence UX</w:t>
      </w:r>
    </w:p>
    <w:p>
      <w:pPr>
        <w:spacing w:after="40"/>
      </w:pPr>
      <w:r>
        <w:rPr>
          <w:b/>
          <w:color w:val="0B1220"/>
        </w:rPr>
        <w:t>21  Future Feature Portfolio</w:t>
      </w:r>
    </w:p>
    <w:p>
      <w:pPr>
        <w:spacing w:after="40"/>
      </w:pPr>
      <w:r>
        <w:rPr>
          <w:b/>
          <w:color w:val="0B1220"/>
        </w:rPr>
        <w:t>22  Product Analytics &amp; Success Metrics</w:t>
      </w:r>
    </w:p>
    <w:p>
      <w:pPr>
        <w:spacing w:after="40"/>
      </w:pPr>
      <w:r>
        <w:rPr>
          <w:b/>
          <w:color w:val="0B1220"/>
        </w:rPr>
        <w:t>23  MVP / Release Sequence</w:t>
      </w:r>
    </w:p>
    <w:p>
      <w:pPr>
        <w:spacing w:after="40"/>
      </w:pPr>
      <w:r>
        <w:rPr>
          <w:b/>
          <w:color w:val="0B1220"/>
        </w:rPr>
        <w:t>24  Design Do/Don’t</w:t>
      </w:r>
    </w:p>
    <w:p>
      <w:r>
        <w:br w:type="page"/>
      </w:r>
    </w:p>
    <w:p>
      <w:pPr>
        <w:pStyle w:val="Heading1"/>
      </w:pPr>
      <w:r>
        <w:t>1. Product Thesis</w:t>
      </w:r>
    </w:p>
    <w:p>
      <w:r>
        <w:t>ComputeBestSpecs is a hardware-to-workload decision product. It should answer whether a real computer can handle a real workload, what hardware a user needs for a target workload, and what upgrade creates the most meaningful improvement. The interface should make sophisticated reasoning feel simple without hiding uncertainty or evidence.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F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1220"/>
              </w:rPr>
              <w:t>Core promise</w:t>
              <w:br/>
            </w:r>
            <w:r>
              <w:rPr>
                <w:color w:val="475569"/>
              </w:rPr>
              <w:t>“Tell us your computer and workload. We will tell you what it can realistically handle, where the bottleneck is, and what to change — with traceable evidence.”</w:t>
            </w:r>
          </w:p>
        </w:tc>
      </w:tr>
    </w:tbl>
    <w:p>
      <w:pPr>
        <w:pStyle w:val="Heading1"/>
      </w:pPr>
      <w:r>
        <w:t>2. Audience &amp;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Primary job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High-value outcome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Everyday PC owner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 my computer run these apps together?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Clear status + bottleneck + upgrade path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Developer / creator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Size a machine for a compound workload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Minimum / Recommended / Professional target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Local-AI user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 I run this model locally?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Fit, backend, quantization, context, speed range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Buyer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Which real machine best fits my workload/budget?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Ranked hardware/product matches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IT / procurement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Can our fleet run a standard workload?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Deployment buckets, upgrade plan, CSV/PDF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PC shop / consultant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Explain a recommendation to a client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Share link, branded report, QR</w:t>
            </w:r>
          </w:p>
        </w:tc>
      </w:tr>
    </w:tbl>
    <w:p>
      <w:pPr>
        <w:pStyle w:val="Heading1"/>
      </w:pPr>
      <w:r>
        <w:t>3. Product Modes</w:t>
      </w:r>
    </w:p>
    <w:p>
      <w:pPr>
        <w:pStyle w:val="ListBullet"/>
      </w:pPr>
      <w:r>
        <w:t>Check My Computer — existing hardware + target software/workloads.</w:t>
      </w:r>
    </w:p>
    <w:p>
      <w:pPr>
        <w:pStyle w:val="ListBullet"/>
      </w:pPr>
      <w:r>
        <w:t>Build My Spec — target software/workloads → minimum, recommended, professional hardware constraints.</w:t>
      </w:r>
    </w:p>
    <w:p>
      <w:pPr>
        <w:pStyle w:val="ListBullet"/>
      </w:pPr>
      <w:r>
        <w:t>Local AI — model/runtime/quantization/context → memory fit, backend compatibility, expected performance range.</w:t>
      </w:r>
    </w:p>
    <w:p>
      <w:pPr>
        <w:pStyle w:val="ListBullet"/>
      </w:pPr>
      <w:r>
        <w:t>Compare — evaluate multiple machines against the exact same scenario.</w:t>
      </w:r>
    </w:p>
    <w:p>
      <w:pPr>
        <w:pStyle w:val="ListBullet"/>
      </w:pPr>
      <w:r>
        <w:t>Find a PC (future) — match requirements to live market products and budget.</w:t>
      </w:r>
    </w:p>
    <w:p>
      <w:pPr>
        <w:pStyle w:val="Heading1"/>
      </w:pPr>
      <w:r>
        <w:t>4. Information Architecture</w:t>
      </w:r>
    </w:p>
    <w:p>
      <w:pPr>
        <w:pStyle w:val="CodeBlock"/>
        <w:shd w:fill="F3F5F7"/>
      </w:pPr>
      <w:r>
        <w:t>Home</w:t>
        <w:br/>
        <w:t>├─ Check my computer</w:t>
        <w:br/>
        <w:t>├─ Build my spec</w:t>
        <w:br/>
        <w:t>├─ Local AI</w:t>
        <w:br/>
        <w:t>├─ Compare</w:t>
        <w:br/>
        <w:t>├─ Results / shared evaluation</w:t>
        <w:br/>
        <w:t>├─ Saved PCs / workloads / evaluations</w:t>
        <w:br/>
        <w:t>├─ Reports / exports</w:t>
        <w:br/>
        <w:t>├─ Business fleet analysis</w:t>
        <w:br/>
        <w:t>└─ Account / billing / notifications</w:t>
      </w:r>
    </w:p>
    <w:p>
      <w:pPr>
        <w:pStyle w:val="Heading1"/>
      </w:pPr>
      <w:r>
        <w:t>5. Core UX Principles</w:t>
      </w:r>
    </w:p>
    <w:p>
      <w:pPr>
        <w:pStyle w:val="ListBullet"/>
      </w:pPr>
      <w:r>
        <w:t>Anonymous-first: core compatibility value before registration.</w:t>
      </w:r>
    </w:p>
    <w:p>
      <w:pPr>
        <w:pStyle w:val="ListBullet"/>
      </w:pPr>
      <w:r>
        <w:t>Progressive disclosure: answer first, reasoning second, raw evidence last.</w:t>
      </w:r>
    </w:p>
    <w:p>
      <w:pPr>
        <w:pStyle w:val="ListBullet"/>
      </w:pPr>
      <w:r>
        <w:t>Never silently resolve ambiguous hardware; surface candidates and confidence.</w:t>
      </w:r>
    </w:p>
    <w:p>
      <w:pPr>
        <w:pStyle w:val="ListBullet"/>
      </w:pPr>
      <w:r>
        <w:t>Simple on the surface, technically deep underneath.</w:t>
      </w:r>
    </w:p>
    <w:p>
      <w:pPr>
        <w:pStyle w:val="ListBullet"/>
      </w:pPr>
      <w:r>
        <w:t>Status language must distinguish “unsupported”, “technically possible”, “slow”, and “cannot run”.</w:t>
      </w:r>
    </w:p>
    <w:p>
      <w:pPr>
        <w:pStyle w:val="ListBullet"/>
      </w:pPr>
      <w:r>
        <w:t>Every recommendation should answer “why” and “what changes if I upgrade?”.</w:t>
      </w:r>
    </w:p>
    <w:p>
      <w:pPr>
        <w:pStyle w:val="ListBullet"/>
      </w:pPr>
      <w:r>
        <w:t>Use ranges for uncertain performance estimates; avoid false precision.</w:t>
      </w:r>
    </w:p>
    <w:p>
      <w:pPr>
        <w:pStyle w:val="Heading1"/>
      </w:pPr>
      <w:r>
        <w:t>6. Visual Design System</w:t>
      </w:r>
    </w:p>
    <w:p>
      <w:pPr>
        <w:pStyle w:val="Heading2"/>
      </w:pPr>
      <w:r>
        <w:t>6.1 Design direction</w:t>
      </w:r>
    </w:p>
    <w:p>
      <w:r>
        <w:t>The visual language should feel like a premium precision instrument rather than a generic SaaS dashboard or RGB gaming site: restrained, technical, spacious, and calm. Dark-first is recommended, with a first-class light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Midnight / primary background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#0B1220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Dark canvas, hero surfaces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Ink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#172033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Primary text in light mode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Slate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#475569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Secondary text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Muted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#64748B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Metadata, confidence detail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Surface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#F5F7FA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Light cards / code blocks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Electric Blue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#4F7CFF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Primary action, selection, focus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Cyan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#4CC9F0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Technical/AI accent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Success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#2FBF71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Meets target / supported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Warning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#F5A524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Borderline / degraded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Danger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#E5484D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Hard incompatibility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Violet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#8B5CF6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Simulation / future/experimental</w:t>
            </w:r>
          </w:p>
        </w:tc>
      </w:tr>
    </w:tbl>
    <w:p>
      <w:pPr>
        <w:pStyle w:val="Heading2"/>
      </w:pPr>
      <w:r>
        <w:t>6.2 Typography &amp; spacing</w:t>
      </w:r>
    </w:p>
    <w:p>
      <w:pPr>
        <w:pStyle w:val="ListBullet"/>
      </w:pPr>
      <w:r>
        <w:t>Use a clean variable sans for UI and a monospaced face only for specs, IDs, formulas, and traces.</w:t>
      </w:r>
    </w:p>
    <w:p>
      <w:pPr>
        <w:pStyle w:val="ListBullet"/>
      </w:pPr>
      <w:r>
        <w:t>Large headline scale with restrained weight; technical content should remain highly legible.</w:t>
      </w:r>
    </w:p>
    <w:p>
      <w:pPr>
        <w:pStyle w:val="ListBullet"/>
      </w:pPr>
      <w:r>
        <w:t>8-point spacing grid; cards should breathe. Avoid dense dashboard chrome.</w:t>
      </w:r>
    </w:p>
    <w:p>
      <w:pPr>
        <w:pStyle w:val="ListBullet"/>
      </w:pPr>
      <w:r>
        <w:t>Prefer 12–16px radii and subtle borders over heavy shadows.</w:t>
      </w:r>
    </w:p>
    <w:p>
      <w:pPr>
        <w:pStyle w:val="ListBullet"/>
      </w:pPr>
      <w:r>
        <w:t>Status colors are semantic, never decorative.</w:t>
      </w:r>
    </w:p>
    <w:p>
      <w:pPr>
        <w:pStyle w:val="Heading2"/>
      </w:pPr>
      <w:r>
        <w:t>6.3 Signature visual motif: Resource Fingerprint</w:t>
      </w:r>
    </w:p>
    <w:p>
      <w:r>
        <w:t>Represent CPU, RAM, GPU, VRAM, storage, and platform as a compact reusable resource fingerprint. The fingerprint appears on hardware cards, workload cards, comparison rows, and result summaries so users learn one visual language across the product.</w:t>
      </w:r>
    </w:p>
    <w:p>
      <w:pPr>
        <w:pStyle w:val="Heading1"/>
      </w:pPr>
      <w:r>
        <w:t>7. Homepage &amp; Onboarding</w:t>
      </w:r>
    </w:p>
    <w:p>
      <w:pPr>
        <w:pStyle w:val="CodeBlock"/>
        <w:shd w:fill="F3F5F7"/>
      </w:pPr>
      <w:r>
        <w:t>Know what your computer can actually handle.</w:t>
        <w:br/>
        <w:t>Real requirements. Real workloads. Explainable recommendations.</w:t>
        <w:br/>
        <w:br/>
        <w:t>[ Check my computer ]</w:t>
        <w:br/>
        <w:t>[ What PC do I need? ]   [ Can I run a local AI model? ]</w:t>
        <w:br/>
        <w:br/>
        <w:t>No account required</w:t>
      </w:r>
    </w:p>
    <w:p>
      <w:r>
        <w:t>Below the hero, show one interactive worked example demonstrating workload + machine → result → bottleneck → simulated upgrade. This should teach the product without a tutorial.</w:t>
      </w:r>
    </w:p>
    <w:p>
      <w:pPr>
        <w:pStyle w:val="Heading1"/>
      </w:pPr>
      <w:r>
        <w:t>8. PC Input Experience</w:t>
      </w:r>
    </w:p>
    <w:p>
      <w:pPr>
        <w:pStyle w:val="ListBullet"/>
      </w:pPr>
      <w:r>
        <w:t>Primary path: natural-language entry (“i7-13700H laptop, RTX 4060, 16GB”).</w:t>
      </w:r>
    </w:p>
    <w:p>
      <w:pPr>
        <w:pStyle w:val="ListBullet"/>
      </w:pPr>
      <w:r>
        <w:t>Secondary paths: search a laptop/desktop model, enter manually, paste diagnostic text.</w:t>
      </w:r>
    </w:p>
    <w:p>
      <w:pPr>
        <w:pStyle w:val="ListBullet"/>
      </w:pPr>
      <w:r>
        <w:t>Future optional helper: local hardware detector, privacy-preserving and opt-in.</w:t>
      </w:r>
    </w:p>
    <w:p>
      <w:pPr>
        <w:pStyle w:val="ListBullet"/>
      </w:pPr>
      <w:r>
        <w:t>Show parsed entities as editable chips/cards with confidence.</w:t>
      </w:r>
    </w:p>
    <w:p>
      <w:pPr>
        <w:pStyle w:val="ListBullet"/>
      </w:pPr>
      <w:r>
        <w:t>For ambiguous inputs such as “RTX 4070”, present desktop/laptop candidates; never auto-select.</w:t>
      </w:r>
    </w:p>
    <w:p>
      <w:pPr>
        <w:pStyle w:val="Heading1"/>
      </w:pPr>
      <w:r>
        <w:t>9. Workload Builder</w:t>
      </w:r>
    </w:p>
    <w:p>
      <w:r>
        <w:t>Software selection should feel like composing a workload, not filling a spreadsheet. Each workload card exposes intensity, project scale, quantity, concurrency role, and optional advanced controls. Common workload templates reduce effort for mainstream use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Template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Example contents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Android Developer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Android Studio, 2 emulators, browser, Docker, database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AI Developer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IDE, Docker, browser, Ollama/llama.cpp, 7B–32B model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Creator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Photoshop, Lightroom, browser, asset cache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Video Editor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NLE, media cache, proxy workflow, export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3D Artist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Blender/renderer, texture workload, browser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Data Scientist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IDE/notebook, containers, local DB, model inference</w:t>
            </w:r>
          </w:p>
        </w:tc>
      </w:tr>
    </w:tbl>
    <w:p>
      <w:pPr>
        <w:pStyle w:val="Heading1"/>
      </w:pPr>
      <w:r>
        <w:t>10. Results Experience</w:t>
      </w:r>
    </w:p>
    <w:p>
      <w:r>
        <w:t>Organize results in four layers: Answer → Problem → Action → Evidence. The default view should be understandable in seconds.</w:t>
      </w:r>
    </w:p>
    <w:p>
      <w:pPr>
        <w:pStyle w:val="CodeBlock"/>
        <w:shd w:fill="F3F5F7"/>
      </w:pPr>
      <w:r>
        <w:t>RECOMMENDED  84</w:t>
        <w:br/>
        <w:t>Your PC handles this workload well.</w:t>
        <w:br/>
        <w:t>High confidence • 4 workloads tested</w:t>
        <w:br/>
        <w:br/>
        <w:t>Primary bottleneck: RAM</w:t>
        <w:br/>
        <w:t>Current 16 GB → Recommended 32 GB</w:t>
        <w:br/>
        <w:t>[ Simulate 32 GB ]  [ See why ]</w:t>
      </w:r>
    </w:p>
    <w:p>
      <w:pPr>
        <w:pStyle w:val="ListBullet"/>
      </w:pPr>
      <w:r>
        <w:t>Avoid a single opaque score as the sole answer. Show tier/status, limiting factor, and confidence.</w:t>
      </w:r>
    </w:p>
    <w:p>
      <w:pPr>
        <w:pStyle w:val="ListBullet"/>
      </w:pPr>
      <w:r>
        <w:t>Show normal/heavy/peak outlook as distinct operating states.</w:t>
      </w:r>
    </w:p>
    <w:p>
      <w:pPr>
        <w:pStyle w:val="ListBullet"/>
      </w:pPr>
      <w:r>
        <w:t>Compatibility Map: highlight which workloads drive CPU/RAM/GPU/VRAM pressure.</w:t>
      </w:r>
    </w:p>
    <w:p>
      <w:pPr>
        <w:pStyle w:val="ListBullet"/>
      </w:pPr>
      <w:r>
        <w:t>Expandable “How we know this” panel shows official requirements, benchmark-derived values, estimates, dates, and confidence.</w:t>
      </w:r>
    </w:p>
    <w:p>
      <w:pPr>
        <w:pStyle w:val="Heading1"/>
      </w:pPr>
      <w:r>
        <w:t>11. What-If &amp; Stress Simulator</w:t>
      </w:r>
    </w:p>
    <w:p>
      <w:pPr>
        <w:pStyle w:val="ListBullet"/>
      </w:pPr>
      <w:r>
        <w:t>Instant, no-submit simulation for RAM/GPU/CPU/storage changes.</w:t>
      </w:r>
    </w:p>
    <w:p>
      <w:pPr>
        <w:pStyle w:val="ListBullet"/>
      </w:pPr>
      <w:r>
        <w:t>Animate delta from baseline result rather than recomputing from zero visually.</w:t>
      </w:r>
    </w:p>
    <w:p>
      <w:pPr>
        <w:pStyle w:val="ListBullet"/>
      </w:pPr>
      <w:r>
        <w:t>“Stress my setup” scrubber increases workload intensity and reveals the exact point where a bottleneck emerges.</w:t>
      </w:r>
    </w:p>
    <w:p>
      <w:pPr>
        <w:pStyle w:val="ListBullet"/>
      </w:pPr>
      <w:r>
        <w:t>Show improvement delta and feasibility, not just a new score.</w:t>
      </w:r>
    </w:p>
    <w:p>
      <w:pPr>
        <w:pStyle w:val="ListBullet"/>
      </w:pPr>
      <w:r>
        <w:t>Later: compare upgrade cost vs workload improvement.</w:t>
      </w:r>
    </w:p>
    <w:p>
      <w:pPr>
        <w:pStyle w:val="Heading1"/>
      </w:pPr>
      <w:r>
        <w:t>12. Local AI / LLM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What user sees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Model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Family / variant / parameter count / dense or MoE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Quantization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Q4/Q5/Q8/FP16 etc.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Runtime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llama.cpp, Ollama, MLX, ExLlama-family, others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Backend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CUDA, Metal, ROCm/HIP, Vulkan, CPU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Context slider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KV-cache growth and memory pressure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Residency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Full GPU, unified memory, partial offload, CPU-only, insufficient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Performance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Prefill and decode ranges separately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Confidence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Measured vs modeled, comparable benchmark count</w:t>
            </w:r>
          </w:p>
        </w:tc>
      </w:tr>
    </w:tbl>
    <w:p>
      <w:r>
        <w:t>The memory view should animate model weights, KV cache, and runtime overhead within VRAM/unified memory/system RAM. If context growth forces partial offload, visually move the overflow segment and update the expected decode range with a warning.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F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1220"/>
              </w:rPr>
              <w:t>AI-specific UX rule</w:t>
              <w:br/>
            </w:r>
            <w:r>
              <w:rPr>
                <w:color w:val="475569"/>
              </w:rPr>
              <w:t>Never show a single “tokens/sec” number without assumptions. Show a range, runtime/backend, quantization, context, residency strategy, and confidence.</w:t>
            </w:r>
          </w:p>
        </w:tc>
      </w:tr>
    </w:tbl>
    <w:p>
      <w:pPr>
        <w:pStyle w:val="Heading1"/>
      </w:pPr>
      <w:r>
        <w:t>13. Comparison &amp; Recommendation UX</w:t>
      </w:r>
    </w:p>
    <w:p>
      <w:pPr>
        <w:pStyle w:val="ListBullet"/>
      </w:pPr>
      <w:r>
        <w:t>Compare machines against one identical scenario.</w:t>
      </w:r>
    </w:p>
    <w:p>
      <w:pPr>
        <w:pStyle w:val="ListBullet"/>
      </w:pPr>
      <w:r>
        <w:t>Highlight why the winner changes when the workload changes.</w:t>
      </w:r>
    </w:p>
    <w:p>
      <w:pPr>
        <w:pStyle w:val="ListBullet"/>
      </w:pPr>
      <w:r>
        <w:t>Show Best Fit, Best Value, and Highest Headroom as separate algorithmic concepts.</w:t>
      </w:r>
    </w:p>
    <w:p>
      <w:pPr>
        <w:pStyle w:val="ListBullet"/>
      </w:pPr>
      <w:r>
        <w:t>If real products are introduced, sponsored placements must remain visually separate and must never influence compatibility scores.</w:t>
      </w:r>
    </w:p>
    <w:p>
      <w:pPr>
        <w:pStyle w:val="Heading1"/>
      </w:pPr>
      <w:r>
        <w:t>14. Sharing, PDF, QR &amp; Email</w:t>
      </w:r>
    </w:p>
    <w:p>
      <w:pPr>
        <w:pStyle w:val="ListBullet"/>
      </w:pPr>
      <w:r>
        <w:t>One Share menu: Copy link, QR code, Download report, Email report.</w:t>
      </w:r>
    </w:p>
    <w:p>
      <w:pPr>
        <w:pStyle w:val="ListBullet"/>
      </w:pPr>
      <w:r>
        <w:t>Public share URLs should reference immutable canonical evaluation snapshots.</w:t>
      </w:r>
    </w:p>
    <w:p>
      <w:pPr>
        <w:pStyle w:val="ListBullet"/>
      </w:pPr>
      <w:r>
        <w:t>PDF should be a structured compatibility report, not a screenshot.</w:t>
      </w:r>
    </w:p>
    <w:p>
      <w:pPr>
        <w:pStyle w:val="ListBullet"/>
      </w:pPr>
      <w:r>
        <w:t>Include a QR code in the PDF that opens the live/shareable evaluation.</w:t>
      </w:r>
    </w:p>
    <w:p>
      <w:pPr>
        <w:pStyle w:val="ListBullet"/>
      </w:pPr>
      <w:r>
        <w:t>CSV and JSON exports for business and integration workflows.</w:t>
      </w:r>
    </w:p>
    <w:p>
      <w:pPr>
        <w:pStyle w:val="ListBullet"/>
      </w:pPr>
      <w:r>
        <w:t>Email should be event-driven: report ready, requirements changed, compatibility changed, price target reached. Avoid generic marketing mail in MVP.</w:t>
      </w:r>
    </w:p>
    <w:p>
      <w:pPr>
        <w:pStyle w:val="Heading1"/>
      </w:pPr>
      <w:r>
        <w:t>15. Accounts &amp; Dashboard</w:t>
      </w:r>
    </w:p>
    <w:p>
      <w:pPr>
        <w:pStyle w:val="ListBullet"/>
      </w:pPr>
      <w:r>
        <w:t>Do not require login for a first evaluation.</w:t>
      </w:r>
    </w:p>
    <w:p>
      <w:pPr>
        <w:pStyle w:val="ListBullet"/>
      </w:pPr>
      <w:r>
        <w:t>Ask for an account at the moment of persistence: save PC, save workload, history, alerts, billing.</w:t>
      </w:r>
    </w:p>
    <w:p>
      <w:pPr>
        <w:pStyle w:val="ListBullet"/>
      </w:pPr>
      <w:r>
        <w:t>Support convenient sign-in options such as passkeys/OAuth/magic link depending implementation choices.</w:t>
      </w:r>
    </w:p>
    <w:p>
      <w:pPr>
        <w:pStyle w:val="ListBullet"/>
      </w:pPr>
      <w:r>
        <w:t>Dashboard organization: My Computers, Saved Workloads, Recent Evaluations, Alerts, Reports.</w:t>
      </w:r>
    </w:p>
    <w:p>
      <w:pPr>
        <w:pStyle w:val="ListBullet"/>
      </w:pPr>
      <w:r>
        <w:t>A saved computer card should immediately show how many saved workloads it meets and its current limiting scenario.</w:t>
      </w:r>
    </w:p>
    <w:p>
      <w:pPr>
        <w:pStyle w:val="Heading1"/>
      </w:pPr>
      <w:r>
        <w:t>16. Monetization &amp; Entitlements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Recommended capabilities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Free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Core checks, recommended specs, basic upgrade advice, shareable link, limited/basic report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Pro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Advanced simulator, detailed AI sizing, comparisons, history, professional PDF, budget optimization, alerts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Business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Fleet import, team workspace, bulk evaluation, procurement, CSV exports, API access, custom workload profiles, audit history</w:t>
            </w:r>
          </w:p>
        </w:tc>
      </w:tr>
    </w:tbl>
    <w:p>
      <w:r>
        <w:t>Implement entitlements (“advanced_simulation”, “export_pdf”, “bulk_analysis”) rather than scattering plan-name conditionals across the codebase.</w:t>
      </w:r>
    </w:p>
    <w:p>
      <w:pPr>
        <w:pStyle w:val="Heading1"/>
      </w:pPr>
      <w:r>
        <w:t>17. Business / Fleet UX</w:t>
      </w:r>
    </w:p>
    <w:p>
      <w:r>
        <w:t>Enterprise users upload an asset inventory, select a workload/SLA, and receive deployment buckets. Thresholds should be organization-configurable rather than hard-coded.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Bucket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Tier 1 — Meets SLA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Local deployment suitable for interactive use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Tier 2 — Local, degraded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Runs locally but below selected latency/throughput target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Tier 3 — Cloud recommended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Local experience fails SLA; recommend managed/API fallback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Unsupported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Hard blocker or insufficient memory/capability</w:t>
            </w:r>
          </w:p>
        </w:tc>
      </w:tr>
    </w:tbl>
    <w:p>
      <w:pPr>
        <w:pStyle w:val="Heading1"/>
      </w:pPr>
      <w:r>
        <w:t>18. Motion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Motion class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3331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Micro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120–180 ms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Buttons, toggles, copy/save confirmation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State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200–350 ms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Scores, bars, status changes, cards</w:t>
            </w:r>
          </w:p>
        </w:tc>
      </w:tr>
      <w:tr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Explanatory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350–700 ms</w:t>
            </w:r>
          </w:p>
        </w:tc>
        <w:tc>
          <w:tcPr>
            <w:tcW w:type="dxa" w:w="33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Resource propagation, offload visualization, stress simulation</w:t>
            </w:r>
          </w:p>
        </w:tc>
      </w:tr>
    </w:tbl>
    <w:p>
      <w:pPr>
        <w:pStyle w:val="ListBullet"/>
      </w:pPr>
      <w:r>
        <w:t>Evaluation reveal: fast sequence of identified hardware → requirements → workload → result; no fake “AI thinking”.</w:t>
      </w:r>
    </w:p>
    <w:p>
      <w:pPr>
        <w:pStyle w:val="ListBullet"/>
      </w:pPr>
      <w:r>
        <w:t>Resource bars animate from previous state to next state.</w:t>
      </w:r>
    </w:p>
    <w:p>
      <w:pPr>
        <w:pStyle w:val="ListBullet"/>
      </w:pPr>
      <w:r>
        <w:t>Bottleneck propagation lines reveal which workloads contribute pressure.</w:t>
      </w:r>
    </w:p>
    <w:p>
      <w:pPr>
        <w:pStyle w:val="ListBullet"/>
      </w:pPr>
      <w:r>
        <w:t>Local-AI memory blocks resize/move when context or offload changes.</w:t>
      </w:r>
    </w:p>
    <w:p>
      <w:pPr>
        <w:pStyle w:val="ListBullet"/>
      </w:pPr>
      <w:r>
        <w:t>Comparison winner badge moves when workload changes.</w:t>
      </w:r>
    </w:p>
    <w:p>
      <w:pPr>
        <w:pStyle w:val="ListBullet"/>
      </w:pPr>
      <w:r>
        <w:t>Respect prefers-reduced-motion; no essential information may depend on animation.</w:t>
      </w:r>
    </w:p>
    <w:p>
      <w:pPr>
        <w:pStyle w:val="Heading1"/>
      </w:pPr>
      <w:r>
        <w:t>19. Accessibility &amp; Responsive Design</w:t>
      </w:r>
    </w:p>
    <w:p>
      <w:pPr>
        <w:pStyle w:val="ListBullet"/>
      </w:pPr>
      <w:r>
        <w:t>WCAG 2.2 AA target.</w:t>
      </w:r>
    </w:p>
    <w:p>
      <w:pPr>
        <w:pStyle w:val="ListBullet"/>
      </w:pPr>
      <w:r>
        <w:t>Full keyboard access and visible focus states.</w:t>
      </w:r>
    </w:p>
    <w:p>
      <w:pPr>
        <w:pStyle w:val="ListBullet"/>
      </w:pPr>
      <w:r>
        <w:t>Never encode compatibility only by color; pair color with icon/text.</w:t>
      </w:r>
    </w:p>
    <w:p>
      <w:pPr>
        <w:pStyle w:val="ListBullet"/>
      </w:pPr>
      <w:r>
        <w:t>Screen-reader labels for charts and resource bars with equivalent textual values.</w:t>
      </w:r>
    </w:p>
    <w:p>
      <w:pPr>
        <w:pStyle w:val="ListBullet"/>
      </w:pPr>
      <w:r>
        <w:t>Mobile ordering: result → bottleneck → action → workload → detail → sources.</w:t>
      </w:r>
    </w:p>
    <w:p>
      <w:pPr>
        <w:pStyle w:val="ListBullet"/>
      </w:pPr>
      <w:r>
        <w:t>Provide discrete values alongside sliders for touch users.</w:t>
      </w:r>
    </w:p>
    <w:p>
      <w:pPr>
        <w:pStyle w:val="ListBullet"/>
      </w:pPr>
      <w:r>
        <w:t>RTL-ready layout from the design-system level if Hebrew support is planned.</w:t>
      </w:r>
    </w:p>
    <w:p>
      <w:pPr>
        <w:pStyle w:val="Heading1"/>
      </w:pPr>
      <w:r>
        <w:t>20. Trust, Evidence &amp; Confidence UX</w:t>
      </w:r>
    </w:p>
    <w:p>
      <w:pPr>
        <w:pStyle w:val="ListBullet"/>
      </w:pPr>
      <w:r>
        <w:t>Label evidence as Official, Benchmark-derived, Estimated, or User-measured.</w:t>
      </w:r>
    </w:p>
    <w:p>
      <w:pPr>
        <w:pStyle w:val="ListBullet"/>
      </w:pPr>
      <w:r>
        <w:t>Confidence should be qualitative by default (High/Medium/Low) with drill-down.</w:t>
      </w:r>
    </w:p>
    <w:p>
      <w:pPr>
        <w:pStyle w:val="ListBullet"/>
      </w:pPr>
      <w:r>
        <w:t>Show exact hardware resolution confidence and unresolved ambiguity.</w:t>
      </w:r>
    </w:p>
    <w:p>
      <w:pPr>
        <w:pStyle w:val="ListBullet"/>
      </w:pPr>
      <w:r>
        <w:t>Expose dataset/retrieval/verification dates where relevant.</w:t>
      </w:r>
    </w:p>
    <w:p>
      <w:pPr>
        <w:pStyle w:val="ListBullet"/>
      </w:pPr>
      <w:r>
        <w:t>For unsupported platforms, distinguish vendor unsupported from technically impossible.</w:t>
      </w:r>
    </w:p>
    <w:p>
      <w:pPr>
        <w:pStyle w:val="Heading1"/>
      </w:pPr>
      <w:r>
        <w:t>21. Future Feature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Future features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AI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Largest model my PC can run; model finder; RAG sizing; image generation; VLM; speech; embeddings; local benchmark helper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Buying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Live product matching, regional pricing, availability, taxes/shipping, price alerts, affiliate links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Hardware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Laptop SKU lookup, component compatibility, PSU/socket/BIOS/case constraints, upgrade feasibility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Community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Shareable workload templates, curated professional presets, clone/remix scenarios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Business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Org policies, fleet agents, SSO/SCIM, procurement workflows, branded reports, API/webhooks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Retention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Requirement-change alerts, compatibility drift, saved machine health, price target notifications</w:t>
            </w:r>
          </w:p>
        </w:tc>
      </w:tr>
    </w:tbl>
    <w:p>
      <w:pPr>
        <w:pStyle w:val="Heading1"/>
      </w:pPr>
      <w:r>
        <w:t>22. Product Analytics &amp; Success Metrics</w:t>
      </w:r>
    </w:p>
    <w:p>
      <w:pPr>
        <w:pStyle w:val="ListBullet"/>
      </w:pPr>
      <w:r>
        <w:t>Evaluation completion rate and time-to-answer.</w:t>
      </w:r>
    </w:p>
    <w:p>
      <w:pPr>
        <w:pStyle w:val="ListBullet"/>
      </w:pPr>
      <w:r>
        <w:t>Hardware ambiguity / not-found rate.</w:t>
      </w:r>
    </w:p>
    <w:p>
      <w:pPr>
        <w:pStyle w:val="ListBullet"/>
      </w:pPr>
      <w:r>
        <w:t>Unknown/low-confidence rate.</w:t>
      </w:r>
    </w:p>
    <w:p>
      <w:pPr>
        <w:pStyle w:val="ListBullet"/>
      </w:pPr>
      <w:r>
        <w:t>Upgrade simulator engagement and delta-to-save conversion.</w:t>
      </w:r>
    </w:p>
    <w:p>
      <w:pPr>
        <w:pStyle w:val="ListBullet"/>
      </w:pPr>
      <w:r>
        <w:t>Share/PDF usage and return visits from shared links.</w:t>
      </w:r>
    </w:p>
    <w:p>
      <w:pPr>
        <w:pStyle w:val="ListBullet"/>
      </w:pPr>
      <w:r>
        <w:t>Anonymous → account conversion after value moment.</w:t>
      </w:r>
    </w:p>
    <w:p>
      <w:pPr>
        <w:pStyle w:val="ListBullet"/>
      </w:pPr>
      <w:r>
        <w:t>Free → Pro conversion by feature entitlement.</w:t>
      </w:r>
    </w:p>
    <w:p>
      <w:pPr>
        <w:pStyle w:val="ListBullet"/>
      </w:pPr>
      <w:r>
        <w:t>B2B: fleet analysis completion, machines classified, actionable upgrade rate.</w:t>
      </w:r>
    </w:p>
    <w:p>
      <w:pPr>
        <w:pStyle w:val="Heading1"/>
      </w:pPr>
      <w:r>
        <w:t>23. MVP / Release Sequence</w:t>
      </w:r>
    </w:p>
    <w:p>
      <w:pPr>
        <w:pStyle w:val="ListNumber"/>
      </w:pPr>
      <w:r>
        <w:t>Verified/versioned data foundation + deterministic engine.</w:t>
      </w:r>
    </w:p>
    <w:p>
      <w:pPr>
        <w:pStyle w:val="ListNumber"/>
      </w:pPr>
      <w:r>
        <w:t>Anonymous Check My PC and Build My Spec flows.</w:t>
      </w:r>
    </w:p>
    <w:p>
      <w:pPr>
        <w:pStyle w:val="ListNumber"/>
      </w:pPr>
      <w:r>
        <w:t>Local AI memory-fit/runtime compatibility baseline.</w:t>
      </w:r>
    </w:p>
    <w:p>
      <w:pPr>
        <w:pStyle w:val="ListNumber"/>
      </w:pPr>
      <w:r>
        <w:t>Results, bottlenecks, what-if simulator, evidence panel.</w:t>
      </w:r>
    </w:p>
    <w:p>
      <w:pPr>
        <w:pStyle w:val="ListNumber"/>
      </w:pPr>
      <w:r>
        <w:t>Accounts + save/history.</w:t>
      </w:r>
    </w:p>
    <w:p>
      <w:pPr>
        <w:pStyle w:val="ListNumber"/>
      </w:pPr>
      <w:r>
        <w:t>Share links + basic PDF/QR.</w:t>
      </w:r>
    </w:p>
    <w:p>
      <w:pPr>
        <w:pStyle w:val="ListNumber"/>
      </w:pPr>
      <w:r>
        <w:t>Advanced Local AI performance calibration.</w:t>
      </w:r>
    </w:p>
    <w:p>
      <w:pPr>
        <w:pStyle w:val="ListNumber"/>
      </w:pPr>
      <w:r>
        <w:t>Payments/Pro entitlements.</w:t>
      </w:r>
    </w:p>
    <w:p>
      <w:pPr>
        <w:pStyle w:val="ListNumber"/>
      </w:pPr>
      <w:r>
        <w:t>Price/product matching and alerts.</w:t>
      </w:r>
    </w:p>
    <w:p>
      <w:pPr>
        <w:pStyle w:val="ListNumber"/>
      </w:pPr>
      <w:r>
        <w:t>Business fleet analysis and API.</w:t>
      </w:r>
    </w:p>
    <w:p>
      <w:pPr>
        <w:pStyle w:val="Heading1"/>
      </w:pPr>
      <w:r>
        <w:t>24. Design Do / Don’t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Do</w:t>
            </w:r>
          </w:p>
        </w:tc>
        <w:tc>
          <w:tcPr>
            <w:tcW w:type="dxa" w:w="4997"/>
            <w:shd w:fill="0B12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Don’t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Use restrained motion to explain causality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Use looping gradients, particles, or fake loading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Use generous whitespace and subtle technical detail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Turn the product into a dense enterprise dashboard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Use semantic status colors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Use gamer RGB/neon as the visual identity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Surface uncertainty with confidence and evidence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Pretend estimates are exact measurements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Let users get value before sign-up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color w:val="172033"/>
                <w:sz w:val="16"/>
              </w:rPr>
              <w:t>Gate the first compatibility answer behind login</w:t>
            </w:r>
          </w:p>
        </w:tc>
      </w:tr>
      <w:tr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Make advanced controls discoverable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C"/>
          </w:tcPr>
          <w:p>
            <w:r>
              <w:rPr>
                <w:color w:val="172033"/>
                <w:sz w:val="16"/>
              </w:rPr>
              <w:t>Expose every engine parameter on the first screen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ComputeBestSpecs • Confidential Product Specification</w:t>
    </w:r>
    <w:r>
      <w:rPr>
        <w:color w:val="64748B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7C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Aptos Mono" w:hAnsi="Aptos Mono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