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left"/>
      </w:pPr>
      <w:r>
        <w:rPr>
          <w:rFonts w:ascii="Aptos Display" w:hAnsi="Aptos Display"/>
          <w:b/>
          <w:color w:val="4F7CFF"/>
          <w:sz w:val="28"/>
        </w:rPr>
        <w:t>COMPUTEBESTSPECS</w:t>
      </w:r>
    </w:p>
    <w:p>
      <w:pPr>
        <w:spacing w:before="200"/>
      </w:pPr>
      <w:r>
        <w:rPr>
          <w:rFonts w:ascii="Aptos Display" w:hAnsi="Aptos Display"/>
          <w:b/>
          <w:color w:val="0B1220"/>
          <w:sz w:val="60"/>
        </w:rPr>
        <w:t>Technical Architecture &amp; Data Specification</w:t>
      </w:r>
    </w:p>
    <w:p>
      <w:r>
        <w:rPr>
          <w:color w:val="475569"/>
          <w:sz w:val="28"/>
        </w:rPr>
        <w:t>Domain model, deterministic engines, data control plane, local-AI modeling, APIs, security, reliability, observability, testing, deployment, and roadmap</w:t>
      </w:r>
    </w:p>
    <w:p>
      <w:pPr>
        <w:spacing w:before="480"/>
      </w:pPr>
      <w:r>
        <w:rPr>
          <w:color w:val="64748B"/>
          <w:sz w:val="20"/>
        </w:rPr>
        <w:t>Working specification • September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7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1220"/>
              </w:rPr>
              <w:t>Purpose</w:t>
              <w:br/>
            </w:r>
            <w:r>
              <w:rPr>
                <w:color w:val="475569"/>
              </w:rPr>
              <w:t>A consolidated product, design, engineering, data, trust, monetization, and roadmap specification derived from the complete ComputeBestSpecs design discussion.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b/>
          <w:color w:val="0B1220"/>
        </w:rPr>
        <w:t>1  System Goals &amp; Non-Goals</w:t>
      </w:r>
    </w:p>
    <w:p>
      <w:pPr>
        <w:spacing w:after="40"/>
      </w:pPr>
      <w:r>
        <w:rPr>
          <w:b/>
          <w:color w:val="0B1220"/>
        </w:rPr>
        <w:t>2  Reference Architecture</w:t>
      </w:r>
    </w:p>
    <w:p>
      <w:pPr>
        <w:spacing w:after="40"/>
      </w:pPr>
      <w:r>
        <w:rPr>
          <w:b/>
          <w:color w:val="0B1220"/>
        </w:rPr>
        <w:t>3  Domain Boundaries</w:t>
      </w:r>
    </w:p>
    <w:p>
      <w:pPr>
        <w:spacing w:after="40"/>
      </w:pPr>
      <w:r>
        <w:rPr>
          <w:b/>
          <w:color w:val="0B1220"/>
        </w:rPr>
        <w:t>4  Core Hardware Model</w:t>
      </w:r>
    </w:p>
    <w:p>
      <w:pPr>
        <w:spacing w:after="40"/>
      </w:pPr>
      <w:r>
        <w:rPr>
          <w:b/>
          <w:color w:val="0B1220"/>
        </w:rPr>
        <w:t>5  Software &amp; Requirement Model</w:t>
      </w:r>
    </w:p>
    <w:p>
      <w:pPr>
        <w:spacing w:after="40"/>
      </w:pPr>
      <w:r>
        <w:rPr>
          <w:b/>
          <w:color w:val="0B1220"/>
        </w:rPr>
        <w:t>6  Workload &amp; Concurrency Model</w:t>
      </w:r>
    </w:p>
    <w:p>
      <w:pPr>
        <w:spacing w:after="40"/>
      </w:pPr>
      <w:r>
        <w:rPr>
          <w:b/>
          <w:color w:val="0B1220"/>
        </w:rPr>
        <w:t>7  Compatibility Engine</w:t>
      </w:r>
    </w:p>
    <w:p>
      <w:pPr>
        <w:spacing w:after="40"/>
      </w:pPr>
      <w:r>
        <w:rPr>
          <w:b/>
          <w:color w:val="0B1220"/>
        </w:rPr>
        <w:t>8  Recommendation &amp; Upgrade Engine</w:t>
      </w:r>
    </w:p>
    <w:p>
      <w:pPr>
        <w:spacing w:after="40"/>
      </w:pPr>
      <w:r>
        <w:rPr>
          <w:b/>
          <w:color w:val="0B1220"/>
        </w:rPr>
        <w:t>9  Local AI / LLM Engine</w:t>
      </w:r>
    </w:p>
    <w:p>
      <w:pPr>
        <w:spacing w:after="40"/>
      </w:pPr>
      <w:r>
        <w:rPr>
          <w:b/>
          <w:color w:val="0B1220"/>
        </w:rPr>
        <w:t>10  Hardware Normalization &amp; Search</w:t>
      </w:r>
    </w:p>
    <w:p>
      <w:pPr>
        <w:spacing w:after="40"/>
      </w:pPr>
      <w:r>
        <w:rPr>
          <w:b/>
          <w:color w:val="0B1220"/>
        </w:rPr>
        <w:t>11  Data Acquisition &amp; Verification</w:t>
      </w:r>
    </w:p>
    <w:p>
      <w:pPr>
        <w:spacing w:after="40"/>
      </w:pPr>
      <w:r>
        <w:rPr>
          <w:b/>
          <w:color w:val="0B1220"/>
        </w:rPr>
        <w:t>12  Database Architecture</w:t>
      </w:r>
    </w:p>
    <w:p>
      <w:pPr>
        <w:spacing w:after="40"/>
      </w:pPr>
      <w:r>
        <w:rPr>
          <w:b/>
          <w:color w:val="0B1220"/>
        </w:rPr>
        <w:t>13  Versioning, Snapshots &amp; Integrity</w:t>
      </w:r>
    </w:p>
    <w:p>
      <w:pPr>
        <w:spacing w:after="40"/>
      </w:pPr>
      <w:r>
        <w:rPr>
          <w:b/>
          <w:color w:val="0B1220"/>
        </w:rPr>
        <w:t>14  API Contracts</w:t>
      </w:r>
    </w:p>
    <w:p>
      <w:pPr>
        <w:spacing w:after="40"/>
      </w:pPr>
      <w:r>
        <w:rPr>
          <w:b/>
          <w:color w:val="0B1220"/>
        </w:rPr>
        <w:t>15  Authentication, Authorization &amp; Billing</w:t>
      </w:r>
    </w:p>
    <w:p>
      <w:pPr>
        <w:spacing w:after="40"/>
      </w:pPr>
      <w:r>
        <w:rPr>
          <w:b/>
          <w:color w:val="0B1220"/>
        </w:rPr>
        <w:t>16  Exports, Sharing &amp; Notifications</w:t>
      </w:r>
    </w:p>
    <w:p>
      <w:pPr>
        <w:spacing w:after="40"/>
      </w:pPr>
      <w:r>
        <w:rPr>
          <w:b/>
          <w:color w:val="0B1220"/>
        </w:rPr>
        <w:t>17  Business Fleet Evaluation</w:t>
      </w:r>
    </w:p>
    <w:p>
      <w:pPr>
        <w:spacing w:after="40"/>
      </w:pPr>
      <w:r>
        <w:rPr>
          <w:b/>
          <w:color w:val="0B1220"/>
        </w:rPr>
        <w:t>18  Caching, Jobs &amp; Background Processing</w:t>
      </w:r>
    </w:p>
    <w:p>
      <w:pPr>
        <w:spacing w:after="40"/>
      </w:pPr>
      <w:r>
        <w:rPr>
          <w:b/>
          <w:color w:val="0B1220"/>
        </w:rPr>
        <w:t>19  Security &amp; Threat Model</w:t>
      </w:r>
    </w:p>
    <w:p>
      <w:pPr>
        <w:spacing w:after="40"/>
      </w:pPr>
      <w:r>
        <w:rPr>
          <w:b/>
          <w:color w:val="0B1220"/>
        </w:rPr>
        <w:t>20  Observability &amp; SLOs</w:t>
      </w:r>
    </w:p>
    <w:p>
      <w:pPr>
        <w:spacing w:after="40"/>
      </w:pPr>
      <w:r>
        <w:rPr>
          <w:b/>
          <w:color w:val="0B1220"/>
        </w:rPr>
        <w:t>21  Testing Strategy</w:t>
      </w:r>
    </w:p>
    <w:p>
      <w:pPr>
        <w:spacing w:after="40"/>
      </w:pPr>
      <w:r>
        <w:rPr>
          <w:b/>
          <w:color w:val="0B1220"/>
        </w:rPr>
        <w:t>22  Deployment &amp; Operations</w:t>
      </w:r>
    </w:p>
    <w:p>
      <w:pPr>
        <w:spacing w:after="40"/>
      </w:pPr>
      <w:r>
        <w:rPr>
          <w:b/>
          <w:color w:val="0B1220"/>
        </w:rPr>
        <w:t>23  Data Licensing &amp; Governance</w:t>
      </w:r>
    </w:p>
    <w:p>
      <w:pPr>
        <w:spacing w:after="40"/>
      </w:pPr>
      <w:r>
        <w:rPr>
          <w:b/>
          <w:color w:val="0B1220"/>
        </w:rPr>
        <w:t>24  Future Architecture Extensions</w:t>
      </w:r>
    </w:p>
    <w:p>
      <w:pPr>
        <w:spacing w:after="40"/>
      </w:pPr>
      <w:r>
        <w:rPr>
          <w:b/>
          <w:color w:val="0B1220"/>
        </w:rPr>
        <w:t>25  Implementation Order &amp; Definition of Done</w:t>
      </w:r>
    </w:p>
    <w:p>
      <w:r>
        <w:br w:type="page"/>
      </w:r>
    </w:p>
    <w:p>
      <w:pPr>
        <w:pStyle w:val="Heading1"/>
      </w:pPr>
      <w:r>
        <w:t>1. System Goals &amp; Non-Goals</w:t>
      </w:r>
    </w:p>
    <w:p>
      <w:pPr>
        <w:pStyle w:val="ListBullet"/>
      </w:pPr>
      <w:r>
        <w:t>Deterministic, explainable compatibility decisions with versioned evidence.</w:t>
      </w:r>
    </w:p>
    <w:p>
      <w:pPr>
        <w:pStyle w:val="ListBullet"/>
      </w:pPr>
      <w:r>
        <w:t>Bidirectional evaluation: hardware → workloads and workloads → hardware constraints.</w:t>
      </w:r>
    </w:p>
    <w:p>
      <w:pPr>
        <w:pStyle w:val="ListBullet"/>
      </w:pPr>
      <w:r>
        <w:t>Concurrent workload modeling with hard blockers, steady-state/peak resource pressure, and first-class UNKNOWN states.</w:t>
      </w:r>
    </w:p>
    <w:p>
      <w:pPr>
        <w:pStyle w:val="ListBullet"/>
      </w:pPr>
      <w:r>
        <w:t>Browser-side interactive simulation plus server-side canonical evaluations.</w:t>
      </w:r>
    </w:p>
    <w:p>
      <w:pPr>
        <w:pStyle w:val="ListBullet"/>
      </w:pPr>
      <w:r>
        <w:t>Local-AI inference sizing based on memory residency, runtime/backend compatibility, context/KV cache, and calibrated performance models.</w:t>
      </w:r>
    </w:p>
    <w:p>
      <w:pPr>
        <w:pStyle w:val="Heading2"/>
      </w:pPr>
      <w:r>
        <w:t>Non-goals for v1</w:t>
      </w:r>
    </w:p>
    <w:p>
      <w:pPr>
        <w:pStyle w:val="ListBullet"/>
      </w:pPr>
      <w:r>
        <w:t>Do not use an LLM as the source of truth for compatibility decisions.</w:t>
      </w:r>
    </w:p>
    <w:p>
      <w:pPr>
        <w:pStyle w:val="ListBullet"/>
      </w:pPr>
      <w:r>
        <w:t>Do not introduce microservices, Kubernetes, Kafka, Elasticsearch/OpenSearch, or WASM without measured need.</w:t>
      </w:r>
    </w:p>
    <w:p>
      <w:pPr>
        <w:pStyle w:val="ListBullet"/>
      </w:pPr>
      <w:r>
        <w:t>Do not execute historical engine code by default just to render old results.</w:t>
      </w:r>
    </w:p>
    <w:p>
      <w:pPr>
        <w:pStyle w:val="ListBullet"/>
      </w:pPr>
      <w:r>
        <w:t>Do not auto-publish LLM-parsed requirement data without deterministic validation and promotion policy.</w:t>
      </w:r>
    </w:p>
    <w:p>
      <w:pPr>
        <w:pStyle w:val="Heading1"/>
      </w:pPr>
      <w:r>
        <w:t>2. Reference Architecture</w:t>
      </w:r>
    </w:p>
    <w:p>
      <w:pPr>
        <w:pStyle w:val="CodeBlock"/>
        <w:shd w:fill="F3F5F7"/>
      </w:pPr>
      <w:r>
        <w:t>Client</w:t>
        <w:br/>
        <w:t xml:space="preserve">  Next.js/React UI</w:t>
        <w:br/>
        <w:t xml:space="preserve">  Local simulation engine (non-authoritative)</w:t>
        <w:br/>
        <w:t xml:space="preserve">  Sanitized SimulationBundle</w:t>
        <w:br/>
        <w:br/>
        <w:t>Server</w:t>
        <w:br/>
        <w:t xml:space="preserve">  Canonical evaluation API</w:t>
        <w:br/>
        <w:t xml:space="preserve">  Shared pure engine package</w:t>
        <w:br/>
        <w:t xml:space="preserve">  Recommendation engine</w:t>
        <w:br/>
        <w:t xml:space="preserve">  Snapshot signer / publisher</w:t>
        <w:br/>
        <w:br/>
        <w:t>Data Plane</w:t>
        <w:br/>
        <w:t xml:space="preserve">  PostgreSQL + indexes</w:t>
        <w:br/>
        <w:t xml:space="preserve">  Redis/cache + queue</w:t>
        <w:br/>
        <w:t xml:space="preserve">  Object storage for raw snapshots/reports</w:t>
        <w:br/>
        <w:br/>
        <w:t>Control Plane</w:t>
        <w:br/>
        <w:t xml:space="preserve">  Ingestion → parsing → normalization → validation → review → staging → regression → promotion</w:t>
        <w:br/>
        <w:br/>
        <w:t>Trust Layer</w:t>
        <w:br/>
        <w:t xml:space="preserve">  Requirement revisions + benchmark revisions + policy versions + engine versions + immutable snapshots</w:t>
      </w:r>
    </w:p>
    <w:p>
      <w:pPr>
        <w:pStyle w:val="Heading1"/>
      </w:pPr>
      <w:r>
        <w:t>3. Domain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Bounded context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Hardware Catalog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Canonical components, variants, capabilities, aliases, benchmark references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Software Catalog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Products, versions, OS/platform support, official requirements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Workloads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Usage scenarios, quantities, foreground/background roles, typical/peak demand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Compatibility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Hard blockers, adequacy, status, bottlenecks, explanations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Recommendations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Minimum/recommended/pro constraints, upgrades, simulations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Local AI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Models, variants, runtimes, backends, quantization, context, benchmarks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Data Control Plane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Source snapshots, candidates, verification, promotion, drift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Accounts/Billing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Users, organizations, entitlements, subscriptions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Reporting/Sharing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Immutable result publication, PDF/CSV/JSON, QR, notifications</w:t>
            </w:r>
          </w:p>
        </w:tc>
      </w:tr>
    </w:tbl>
    <w:p>
      <w:pPr>
        <w:pStyle w:val="Heading1"/>
      </w:pPr>
      <w:r>
        <w:t>4. Core Hardware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Required fields / concerns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CPU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canonical SKU, vendor, architecture, cores/threads, generation, release, single/multi perf references, vector features, iGPU, laptop/desktop variant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GPU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canonical SKU, desktop/laptop variant, TGP/power range, VRAM/unified memory, API capabilities, compute backend support, memory bandwidth, bus/interface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Memory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capacity, type, channels, speed, soldered/upgradeable, measured/theoretical bandwidth where known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Storage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type, total/free, scratch/cache/temp headroom, performance class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Platform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OS family/version/build, architecture, device type, vendor support status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System constraints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PSU, motherboard/socket/chipset/BIOS, physical dimensions, cooling — future physical compatibility engine</w:t>
            </w:r>
          </w:p>
        </w:tc>
      </w:tr>
    </w:tbl>
    <w:p>
      <w:r>
        <w:t>Apple unified memory is a separate topology and must not be modeled as discrete GPU VRAM + system RAM. Laptop GPU SKUs must be distinguished from desktop variants.</w:t>
      </w:r>
    </w:p>
    <w:p>
      <w:pPr>
        <w:pStyle w:val="Heading1"/>
      </w:pPr>
      <w:r>
        <w:t>5. Software &amp; Requirement Model</w:t>
      </w:r>
    </w:p>
    <w:p>
      <w:pPr>
        <w:pStyle w:val="ListBullet"/>
      </w:pPr>
      <w:r>
        <w:t>Software requirements are version-specific, platform-specific, and source-linked.</w:t>
      </w:r>
    </w:p>
    <w:p>
      <w:pPr>
        <w:pStyle w:val="ListBullet"/>
      </w:pPr>
      <w:r>
        <w:t>Typed fields should capture core requirements; extensible capabilities can use JSONB where appropriate.</w:t>
      </w:r>
    </w:p>
    <w:p>
      <w:pPr>
        <w:pStyle w:val="ListBullet"/>
      </w:pPr>
      <w:r>
        <w:t>Requirement rules include tier (minimum/recommended/professional), severity, operator, value, source, valid_from, retrieved_at, verification state, and confidence.</w:t>
      </w:r>
    </w:p>
    <w:p>
      <w:pPr>
        <w:pStyle w:val="ListBullet"/>
      </w:pPr>
      <w:r>
        <w:t>Capability dependencies should support REQUIRED, MIN_VERSION, ONE_OF and HARD/SOFT semantics.</w:t>
      </w:r>
    </w:p>
    <w:p>
      <w:pPr>
        <w:pStyle w:val="ListBullet"/>
      </w:pPr>
      <w:r>
        <w:t>Separate hardware compatibility, OS installability/vendor support, and application platform support.</w:t>
      </w:r>
    </w:p>
    <w:p>
      <w:pPr>
        <w:pStyle w:val="Heading1"/>
      </w:pPr>
      <w:r>
        <w:t>6. Workload &amp; Concurrency Model</w:t>
      </w:r>
    </w:p>
    <w:p>
      <w:pPr>
        <w:pStyle w:val="CodeBlock"/>
        <w:shd w:fill="F3F5F7"/>
      </w:pPr>
      <w:r>
        <w:t>ResourceDemand = {</w:t>
        <w:br/>
        <w:t xml:space="preserve">  ram: { idle, typical, peak },</w:t>
        <w:br/>
        <w:t xml:space="preserve">  cpu: { idle, typical, peak },</w:t>
        <w:br/>
        <w:t xml:space="preserve">  gpu: { idle, typical, peak },</w:t>
        <w:br/>
        <w:t xml:space="preserve">  vram: { idle, typical, peak },</w:t>
        <w:br/>
        <w:t xml:space="preserve">  storageWorkingSet, tempPeakStorage, ioPressure</w:t>
        <w:br/>
        <w:t>}</w:t>
        <w:br/>
        <w:br/>
        <w:t>UsageScenario = workloads[] + quantities + concurrency roles + workload policy</w:t>
      </w:r>
    </w:p>
    <w:p>
      <w:pPr>
        <w:pStyle w:val="ListBullet"/>
      </w:pPr>
      <w:r>
        <w:t>Do not naïvely sum vendor minimum/recommended RAM. Use workload profiles and explain fallbacks.</w:t>
      </w:r>
    </w:p>
    <w:p>
      <w:pPr>
        <w:pStyle w:val="ListBullet"/>
      </w:pPr>
      <w:r>
        <w:t>Concurrency weights such as foreground/background/occasional are policy defaults, not universal constants.</w:t>
      </w:r>
    </w:p>
    <w:p>
      <w:pPr>
        <w:pStyle w:val="ListBullet"/>
      </w:pPr>
      <w:r>
        <w:t>Headroom is policy-versioned and tier-dependent.</w:t>
      </w:r>
    </w:p>
    <w:p>
      <w:pPr>
        <w:pStyle w:val="ListBullet"/>
      </w:pPr>
      <w:r>
        <w:t>Quantity is first-class for emulators, containers, browser tabs, VMs, and repeated workers.</w:t>
      </w:r>
    </w:p>
    <w:p>
      <w:pPr>
        <w:pStyle w:val="ListBullet"/>
      </w:pPr>
      <w:r>
        <w:t>Unknown estimates remain UNKNOWN with conservative handling; do not invent precise demand.</w:t>
      </w:r>
    </w:p>
    <w:p>
      <w:pPr>
        <w:pStyle w:val="Heading1"/>
      </w:pPr>
      <w:r>
        <w:t>7. Compatibility Engine</w:t>
      </w:r>
    </w:p>
    <w:p>
      <w:pPr>
        <w:pStyle w:val="ListBullet"/>
      </w:pPr>
      <w:r>
        <w:t>Pure, deterministic function over normalized inputs + immutable dataset/policy slices.</w:t>
      </w:r>
    </w:p>
    <w:p>
      <w:pPr>
        <w:pStyle w:val="ListBullet"/>
      </w:pPr>
      <w:r>
        <w:t>Evaluate hard blockers first: OS/arch, required APIs, virtualization, memory floor, storage floor, capability absence.</w:t>
      </w:r>
    </w:p>
    <w:p>
      <w:pPr>
        <w:pStyle w:val="ListBullet"/>
      </w:pPr>
      <w:r>
        <w:t>Then compute resource adequacy for minimum/recommended/professional tiers.</w:t>
      </w:r>
    </w:p>
    <w:p>
      <w:pPr>
        <w:pStyle w:val="ListBullet"/>
      </w:pPr>
      <w:r>
        <w:t>Return CompatibilityStatus separately from PerformanceExpectation.</w:t>
      </w:r>
    </w:p>
    <w:p>
      <w:pPr>
        <w:pStyle w:val="ListBullet"/>
      </w:pPr>
      <w:r>
        <w:t>Return bottlenecks, machine-readable explanation codes with parameters, confidence, and provenance references.</w:t>
      </w:r>
    </w:p>
    <w:p>
      <w:pPr>
        <w:pStyle w:val="ListBullet"/>
      </w:pPr>
      <w:r>
        <w:t>Avoid uncalibrated “magic” 0–100 scores; if used, disclose components and penalties.</w:t>
      </w:r>
    </w:p>
    <w:p>
      <w:pPr>
        <w:pStyle w:val="CodeBlock"/>
        <w:shd w:fill="F3F5F7"/>
      </w:pPr>
      <w:r>
        <w:t>EvaluationResult {</w:t>
        <w:br/>
        <w:t xml:space="preserve">  status, tier, performanceExpectation,</w:t>
        <w:br/>
        <w:t xml:space="preserve">  componentAdequacy[], bottlenecks[],</w:t>
        <w:br/>
        <w:t xml:space="preserve">  explanations[{ code, params, evidenceRefs }],</w:t>
        <w:br/>
        <w:t xml:space="preserve">  confidence, unknowns[],</w:t>
        <w:br/>
        <w:t xml:space="preserve">  engineVersion, policyVersion, datasetRevisions</w:t>
        <w:br/>
        <w:t>}</w:t>
      </w:r>
    </w:p>
    <w:p>
      <w:pPr>
        <w:pStyle w:val="Heading1"/>
      </w:pPr>
      <w:r>
        <w:t>8. Recommendation &amp; Upgrade Engine</w:t>
      </w:r>
    </w:p>
    <w:p>
      <w:r>
        <w:t>Keep requirement aggregation separate from real-product matching: Requirements → Hardware Constraints → Tier Generator → Hardware Matching. Upgrade advice is simulation-based: compare baseline to feasible candidate upgrades and rank by improvement, feasibility, and optionally cost.</w:t>
      </w:r>
    </w:p>
    <w:p>
      <w:pPr>
        <w:pStyle w:val="ListBullet"/>
      </w:pPr>
      <w:r>
        <w:t>Respect laptop soldered RAM/GPU and motherboard/PSU/physical compatibility.</w:t>
      </w:r>
    </w:p>
    <w:p>
      <w:pPr>
        <w:pStyle w:val="ListBullet"/>
      </w:pPr>
      <w:r>
        <w:t>Return improvement delta, bottleneck removed, new bottleneck, and confidence.</w:t>
      </w:r>
    </w:p>
    <w:p>
      <w:pPr>
        <w:pStyle w:val="ListBullet"/>
      </w:pPr>
      <w:r>
        <w:t>“Price/performance” should be called Upgrade Value or Workload Improvement per Cost and include compatibility/feasibility constraints.</w:t>
      </w:r>
    </w:p>
    <w:p>
      <w:pPr>
        <w:pStyle w:val="Heading1"/>
      </w:pPr>
      <w:r>
        <w:t>9. Local AI / LLM Engine</w:t>
      </w:r>
    </w:p>
    <w:p>
      <w:pPr>
        <w:pStyle w:val="Heading2"/>
      </w:pPr>
      <w:r>
        <w:t>9.1 Model entities</w:t>
      </w:r>
    </w:p>
    <w:p>
      <w:pPr>
        <w:pStyle w:val="ListBullet"/>
      </w:pPr>
      <w:r>
        <w:t>ModelFamily / ModelVariant / architecture (dense or MoE).</w:t>
      </w:r>
    </w:p>
    <w:p>
      <w:pPr>
        <w:pStyle w:val="ListBullet"/>
      </w:pPr>
      <w:r>
        <w:t>Parameter counts: total and, for MoE, active parameters/token where meaningful.</w:t>
      </w:r>
    </w:p>
    <w:p>
      <w:pPr>
        <w:pStyle w:val="ListBullet"/>
      </w:pPr>
      <w:r>
        <w:t>Quantization and format: GGUF, EXL2, MLX and other supported formats.</w:t>
      </w:r>
    </w:p>
    <w:p>
      <w:pPr>
        <w:pStyle w:val="ListBullet"/>
      </w:pPr>
      <w:r>
        <w:t>Model file/weight size per variant and quantization.</w:t>
      </w:r>
    </w:p>
    <w:p>
      <w:pPr>
        <w:pStyle w:val="ListBullet"/>
      </w:pPr>
      <w:r>
        <w:t>Modalities: text, vision, audio, embedding, image generation.</w:t>
      </w:r>
    </w:p>
    <w:p>
      <w:pPr>
        <w:pStyle w:val="Heading2"/>
      </w:pPr>
      <w:r>
        <w:t>9.2 Runtime &amp; backend matrix</w:t>
      </w:r>
    </w:p>
    <w:p>
      <w:pPr>
        <w:pStyle w:val="ListBullet"/>
      </w:pPr>
      <w:r>
        <w:t>InferenceRuntime stores supported formats, OSes, CPU architectures, CPU instruction features, accelerator backends, and partial-offload support.</w:t>
      </w:r>
    </w:p>
    <w:p>
      <w:pPr>
        <w:pStyle w:val="ListBullet"/>
      </w:pPr>
      <w:r>
        <w:t>The runtime/back-end combination — not the model alone — determines hardware execution compatibility.</w:t>
      </w:r>
    </w:p>
    <w:p>
      <w:pPr>
        <w:pStyle w:val="ListBullet"/>
      </w:pPr>
      <w:r>
        <w:t>CPU vector extensions should be modeled as REQUIRED / RECOMMENDED / ACCELERATION_ONLY, not as blanket AVX2/AVX-512 assumptions.</w:t>
      </w:r>
    </w:p>
    <w:p>
      <w:pPr>
        <w:pStyle w:val="Heading2"/>
      </w:pPr>
      <w:r>
        <w:t>9.3 Memory residency</w:t>
      </w:r>
    </w:p>
    <w:p>
      <w:pPr>
        <w:pStyle w:val="CodeBlock"/>
        <w:shd w:fill="F3F5F7"/>
      </w:pPr>
      <w:r>
        <w:t>ModelResidency = FULL_GPU | FULL_UNIFIED_MEMORY | PARTIAL_GPU_OFFLOAD | CPU_ONLY | INSUFFICIENT_MEMORY</w:t>
        <w:br/>
        <w:br/>
        <w:t>Required memory ≈ weights + KV cache + runtime overhead + modality overhead + safety/headroom</w:t>
      </w:r>
    </w:p>
    <w:p>
      <w:pPr>
        <w:pStyle w:val="ListBullet"/>
      </w:pPr>
      <w:r>
        <w:t>Context length drives KV-cache growth; a model may fit at 4K and fail at 128K.</w:t>
      </w:r>
    </w:p>
    <w:p>
      <w:pPr>
        <w:pStyle w:val="ListBullet"/>
      </w:pPr>
      <w:r>
        <w:t>Discrete GPU overflow is constrained by PCIe/interconnect + system RAM bandwidth; unified-memory systems require a separate path.</w:t>
      </w:r>
    </w:p>
    <w:p>
      <w:pPr>
        <w:pStyle w:val="ListBullet"/>
      </w:pPr>
      <w:r>
        <w:t>Partial offload is supported-but-degraded, not automatically incompatible.</w:t>
      </w:r>
    </w:p>
    <w:p>
      <w:pPr>
        <w:pStyle w:val="Heading2"/>
      </w:pPr>
      <w:r>
        <w:t>9.4 Performance model</w:t>
      </w:r>
    </w:p>
    <w:p>
      <w:r>
        <w:t>For autoregressive decode, memory bandwidth is a strong first-order predictor, but the system must not claim decode is universally bandwidth-only. Prefill and decode should be modeled separately.</w:t>
      </w:r>
    </w:p>
    <w:p>
      <w:pPr>
        <w:pStyle w:val="CodeBlock"/>
        <w:shd w:fill="F3F5F7"/>
      </w:pPr>
      <w:r>
        <w:t>decode_tps_ceiling ≈ effective_memory_bandwidth / effective_bytes_read_per_generated_token</w:t>
        <w:br/>
        <w:br/>
        <w:t>estimated_decode_range = ceiling × backend_efficiency × quantization/runtime_factor × topology_factor × calibration_adjustment</w:t>
      </w:r>
    </w:p>
    <w:p>
      <w:pPr>
        <w:pStyle w:val="ListBullet"/>
      </w:pPr>
      <w:r>
        <w:t>Do not use generic CUDA/compute score alone to predict decode speed.</w:t>
      </w:r>
    </w:p>
    <w:p>
      <w:pPr>
        <w:pStyle w:val="ListBullet"/>
      </w:pPr>
      <w:r>
        <w:t>Do not equate model file size exactly with bytes transferred/token; account for architecture, quantization metadata/layout, kernels, MoE behavior, caching and runtime implementation.</w:t>
      </w:r>
    </w:p>
    <w:p>
      <w:pPr>
        <w:pStyle w:val="ListBullet"/>
      </w:pPr>
      <w:r>
        <w:t>Prefill is often more compute-sensitive and should have an independent model.</w:t>
      </w:r>
    </w:p>
    <w:p>
      <w:pPr>
        <w:pStyle w:val="ListBullet"/>
      </w:pPr>
      <w:r>
        <w:t>Return ranges with assumptions and confidence.</w:t>
      </w:r>
    </w:p>
    <w:p>
      <w:pPr>
        <w:pStyle w:val="Heading2"/>
      </w:pPr>
      <w:r>
        <w:t>9.5 Benchmark calibration</w:t>
      </w:r>
    </w:p>
    <w:p>
      <w:pPr>
        <w:pStyle w:val="CodeBlock"/>
        <w:shd w:fill="F3F5F7"/>
      </w:pPr>
      <w:r>
        <w:t>InferenceBenchmark {</w:t>
        <w:br/>
        <w:t xml:space="preserve"> hardwareProfileId, modelVariantId, runtimeVersion, backend,</w:t>
        <w:br/>
        <w:t xml:space="preserve"> quantization, contextTokens, gpuLayers?, batchSize?,</w:t>
        <w:br/>
        <w:t xml:space="preserve"> promptTokensPerSecond, generationTokensPerSecond,</w:t>
        <w:br/>
        <w:t xml:space="preserve"> peakRamGb, peakVramGb, measuredAt, source</w:t>
        <w:br/>
        <w:t>}</w:t>
      </w:r>
    </w:p>
    <w:p>
      <w:r>
        <w:t>Prediction should combine physics-based ceilings with comparable measured observations. Confidence increases when same-family hardware, same quantization, backend, runtime, and context are represented in the benchmark corpus.</w:t>
      </w:r>
    </w:p>
    <w:p>
      <w:pPr>
        <w:pStyle w:val="Heading1"/>
      </w:pPr>
      <w:r>
        <w:t>10. Hardware Normalization &amp; Search</w:t>
      </w:r>
    </w:p>
    <w:p>
      <w:pPr>
        <w:pStyle w:val="CodeBlock"/>
        <w:shd w:fill="F3F5F7"/>
      </w:pPr>
      <w:r>
        <w:t>raw input → tokenizer → vendor/family/variant extraction → candidate generation → ranking → canonical entity</w:t>
        <w:br/>
        <w:br/>
        <w:t>ResolutionResult&lt;T&gt; = EXACT | HIGH_CONFIDENCE | AMBIGUOUS | NOT_FOUND</w:t>
      </w:r>
    </w:p>
    <w:p>
      <w:pPr>
        <w:pStyle w:val="ListBullet"/>
      </w:pPr>
      <w:r>
        <w:t>Store aliases and canonical SKU identity.</w:t>
      </w:r>
    </w:p>
    <w:p>
      <w:pPr>
        <w:pStyle w:val="ListBullet"/>
      </w:pPr>
      <w:r>
        <w:t>Never resolve ambiguous short names like “4070” silently.</w:t>
      </w:r>
    </w:p>
    <w:p>
      <w:pPr>
        <w:pStyle w:val="ListBullet"/>
      </w:pPr>
      <w:r>
        <w:t>Start with PostgreSQL pg_trgm + normalized tokens. Move to a dedicated search engine only after measured relevance/latency/faceting needs justify it.</w:t>
      </w:r>
    </w:p>
    <w:p>
      <w:pPr>
        <w:pStyle w:val="ListBullet"/>
      </w:pPr>
      <w:r>
        <w:t>Maintain an offline search relevance corpus with metrics such as MRR/NDCG if search quality becomes critical.</w:t>
      </w:r>
    </w:p>
    <w:p>
      <w:pPr>
        <w:pStyle w:val="Heading1"/>
      </w:pPr>
      <w:r>
        <w:t>11. Data Acquisition &amp; Verification</w:t>
      </w:r>
    </w:p>
    <w:p>
      <w:pPr>
        <w:pStyle w:val="CodeBlock"/>
        <w:shd w:fill="F3F5F7"/>
      </w:pPr>
      <w:r>
        <w:t>Source → Fetch/Manual Import → Raw Snapshot → Parser/OCR → LLM-assisted normalization (optional) → Schema Validation → Deterministic Checks → Candidate → Review/Policy Approval → Staging → Regression &amp; Impact Analysis → Production</w:t>
      </w:r>
    </w:p>
    <w:p>
      <w:pPr>
        <w:pStyle w:val="ListBullet"/>
      </w:pPr>
      <w:r>
        <w:t>LLMs may assist parsing but never publish directly or act as compatibility authority.</w:t>
      </w:r>
    </w:p>
    <w:p>
      <w:pPr>
        <w:pStyle w:val="ListBullet"/>
      </w:pPr>
      <w:r>
        <w:t>Candidate states: UNVERIFIED → PARSED → VALIDATED → VERIFIED → PUBLISHED.</w:t>
      </w:r>
    </w:p>
    <w:p>
      <w:pPr>
        <w:pStyle w:val="ListBullet"/>
      </w:pPr>
      <w:r>
        <w:t>Data Quality Gate: VERIFIED / PARTIAL / STALE / CONFLICTING / INSUFFICIENT.</w:t>
      </w:r>
    </w:p>
    <w:p>
      <w:pPr>
        <w:pStyle w:val="ListBullet"/>
      </w:pPr>
      <w:r>
        <w:t>Track source URL/provider, license, retrieved_at, valid_from, official flag, parser/model version, warnings/errors, verification record.</w:t>
      </w:r>
    </w:p>
    <w:p>
      <w:pPr>
        <w:pStyle w:val="ListBullet"/>
      </w:pPr>
      <w:r>
        <w:t>Semantic regression detection should catch RAM/VRAM/performance threshold changes, OS/architecture support changes, new API requirements, virtualization changes, and storage increases.</w:t>
      </w:r>
    </w:p>
    <w:p>
      <w:pPr>
        <w:pStyle w:val="Heading1"/>
      </w:pPr>
      <w:r>
        <w:t>12. Database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Entity group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Representative tables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Catalog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hardware_components, hardware_aliases, software, software_versions, ai_models, ai_model_variants, inference_runtimes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Requirements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requirement_profiles, requirement_rules, capability_requirements, workload_profiles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Evidence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sources, source_documents, requirement_imports, requirement_candidates, requirement_revisions, verification_records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Benchmarks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benchmark_datasets, hardware_benchmarks, inference_benchmarks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Evaluation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compatibility_runs, evaluation_snapshots, evaluation_explanations, simulation_runs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User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users, organizations, memberships, user_builds, saved_workloads, saved_evaluations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Commercial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subscriptions, entitlements, usage_counters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Sharing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public_shares, export_jobs, notification_preferences, notification_events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Ops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audit_logs, job_runs, feature_flags, release_promotions</w:t>
            </w:r>
          </w:p>
        </w:tc>
      </w:tr>
    </w:tbl>
    <w:p>
      <w:pPr>
        <w:pStyle w:val="ListBullet"/>
      </w:pPr>
      <w:r>
        <w:t>Use UUIDv7/ULID/random public identifiers; no sequential public IDs.</w:t>
      </w:r>
    </w:p>
    <w:p>
      <w:pPr>
        <w:pStyle w:val="ListBullet"/>
      </w:pPr>
      <w:r>
        <w:t>Use optimistic concurrency/version fields on admin-editable records.</w:t>
      </w:r>
    </w:p>
    <w:p>
      <w:pPr>
        <w:pStyle w:val="ListBullet"/>
      </w:pPr>
      <w:r>
        <w:t>Use unique constraints/advisory locks to prevent duplicate ingestion.</w:t>
      </w:r>
    </w:p>
    <w:p>
      <w:pPr>
        <w:pStyle w:val="ListBullet"/>
      </w:pPr>
      <w:r>
        <w:t>Use typed columns for core query/validation fields; JSONB only for truly extensible metadata.</w:t>
      </w:r>
    </w:p>
    <w:p>
      <w:pPr>
        <w:pStyle w:val="Heading1"/>
      </w:pPr>
      <w:r>
        <w:t>13. Versioning, Snapshots &amp; Integrity</w:t>
      </w:r>
    </w:p>
    <w:p>
      <w:pPr>
        <w:pStyle w:val="ListBullet"/>
      </w:pPr>
      <w:r>
        <w:t>Persist engineVersion, policyVersion, benchmarkDatasetVersion, requirements dataset revision, normalized input snapshot, result snapshot, and createdAt.</w:t>
      </w:r>
    </w:p>
    <w:p>
      <w:pPr>
        <w:pStyle w:val="ListBullet"/>
      </w:pPr>
      <w:r>
        <w:t>Historical results render from immutable EvaluationSnapshot; “Re-evaluate with latest” runs current logic and compares drift.</w:t>
      </w:r>
    </w:p>
    <w:p>
      <w:pPr>
        <w:pStyle w:val="ListBullet"/>
      </w:pPr>
      <w:r>
        <w:t>Evaluation fingerprint = SHA-256(canonical normalized input + requirement revisions + benchmark revision + policy version + engine version).</w:t>
      </w:r>
    </w:p>
    <w:p>
      <w:pPr>
        <w:pStyle w:val="ListBullet"/>
      </w:pPr>
      <w:r>
        <w:t>Canonical/shareable evaluations are server-generated. Browser simulations are explicitly non-authoritative.</w:t>
      </w:r>
    </w:p>
    <w:p>
      <w:pPr>
        <w:pStyle w:val="ListBullet"/>
      </w:pPr>
      <w:r>
        <w:t>Optional HMAC-SHA256 signature over canonical serialized snapshot proves the snapshot matches server-signed content; it does not prove the underlying recommendation is objectively correct. Store keyVersion for rotation.</w:t>
      </w:r>
    </w:p>
    <w:p>
      <w:pPr>
        <w:pStyle w:val="Heading1"/>
      </w:pPr>
      <w:r>
        <w:t>14.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Endpoint family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POST /api/evaluations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Canonical evaluation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POST /api/simulations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Non-persistent or persisted what-if evaluation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GET /api/hardware/search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Normalized component search/resolution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GET /api/software/search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Software/version search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GET /api/ai/models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Model/variant lookup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POST /api/recommendations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Workload → spec tiers / upgrade candidates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POST /api/fleet/evaluate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Bulk organization evaluation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POST /api/exports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Create PDF/CSV/JSON report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GET /s/:publicId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Published share snapshot</w:t>
            </w:r>
          </w:p>
        </w:tc>
      </w:tr>
    </w:tbl>
    <w:p>
      <w:pPr>
        <w:pStyle w:val="ListBullet"/>
      </w:pPr>
      <w:r>
        <w:t>Use Zod/equivalent schema validation server-side.</w:t>
      </w:r>
    </w:p>
    <w:p>
      <w:pPr>
        <w:pStyle w:val="ListBullet"/>
      </w:pPr>
      <w:r>
        <w:t>Version external/public APIs and generate OpenAPI where practical.</w:t>
      </w:r>
    </w:p>
    <w:p>
      <w:pPr>
        <w:pStyle w:val="ListBullet"/>
      </w:pPr>
      <w:r>
        <w:t>Return machine-readable explanation codes; localize at the presentation layer.</w:t>
      </w:r>
    </w:p>
    <w:p>
      <w:pPr>
        <w:pStyle w:val="ListBullet"/>
      </w:pPr>
      <w:r>
        <w:t>Include request/correlation ID and relevant dataset revisions in canonical responses.</w:t>
      </w:r>
    </w:p>
    <w:p>
      <w:pPr>
        <w:pStyle w:val="Heading1"/>
      </w:pPr>
      <w:r>
        <w:t>15. Authentication, Authorization &amp; Billing</w:t>
      </w:r>
    </w:p>
    <w:p>
      <w:pPr>
        <w:pStyle w:val="ListBullet"/>
      </w:pPr>
      <w:r>
        <w:t>Core anonymous evaluation works without authentication.</w:t>
      </w:r>
    </w:p>
    <w:p>
      <w:pPr>
        <w:pStyle w:val="ListBullet"/>
      </w:pPr>
      <w:r>
        <w:t>Accounts unlock persistence, alerts, history, billing, team workspaces.</w:t>
      </w:r>
    </w:p>
    <w:p>
      <w:pPr>
        <w:pStyle w:val="ListBullet"/>
      </w:pPr>
      <w:r>
        <w:t>RBAC baseline: USER, DATA_EDITOR, DATA_REVIEWER, ADMIN; organization roles can be layered separately.</w:t>
      </w:r>
    </w:p>
    <w:p>
      <w:pPr>
        <w:pStyle w:val="ListBullet"/>
      </w:pPr>
      <w:r>
        <w:t>Two-person approval may be added for high-impact data promotion.</w:t>
      </w:r>
    </w:p>
    <w:p>
      <w:pPr>
        <w:pStyle w:val="ListBullet"/>
      </w:pPr>
      <w:r>
        <w:t>Use entitlements rather than plan-name branching throughout business logic.</w:t>
      </w:r>
    </w:p>
    <w:p>
      <w:pPr>
        <w:pStyle w:val="ListBullet"/>
      </w:pPr>
      <w:r>
        <w:t>Rate-limit expensive/bulk/export endpoints; meter business/API usage.</w:t>
      </w:r>
    </w:p>
    <w:p>
      <w:pPr>
        <w:pStyle w:val="Heading1"/>
      </w:pPr>
      <w:r>
        <w:t>16. Exports, Sharing &amp; Notifications</w:t>
      </w:r>
    </w:p>
    <w:p>
      <w:pPr>
        <w:pStyle w:val="ListBullet"/>
      </w:pPr>
      <w:r>
        <w:t>Export service abstraction with PDF, CSV and JSON implementations.</w:t>
      </w:r>
    </w:p>
    <w:p>
      <w:pPr>
        <w:pStyle w:val="ListBullet"/>
      </w:pPr>
      <w:r>
        <w:t>PDF contains canonical evaluation metadata and QR to the live immutable share.</w:t>
      </w:r>
    </w:p>
    <w:p>
      <w:pPr>
        <w:pStyle w:val="ListBullet"/>
      </w:pPr>
      <w:r>
        <w:t>Public shares support expiry/revocation, abuse controls, quotas, and cleanup.</w:t>
      </w:r>
    </w:p>
    <w:p>
      <w:pPr>
        <w:pStyle w:val="ListBullet"/>
      </w:pPr>
      <w:r>
        <w:t>Notification events: REQUIREMENT_CHANGED, COMPATIBILITY_CHANGED, PRICE_TARGET_REACHED, REPORT_READY.</w:t>
      </w:r>
    </w:p>
    <w:p>
      <w:pPr>
        <w:pStyle w:val="ListBullet"/>
      </w:pPr>
      <w:r>
        <w:t>Delivery channels: in-app, email, future push/webhook.</w:t>
      </w:r>
    </w:p>
    <w:p>
      <w:pPr>
        <w:pStyle w:val="ListBullet"/>
      </w:pPr>
      <w:r>
        <w:t>Use outbox/event pattern when transaction + enqueue consistency becomes material.</w:t>
      </w:r>
    </w:p>
    <w:p>
      <w:pPr>
        <w:pStyle w:val="Heading1"/>
      </w:pPr>
      <w:r>
        <w:t>17. Business Fleet Evaluation</w:t>
      </w:r>
    </w:p>
    <w:p>
      <w:pPr>
        <w:pStyle w:val="ListBullet"/>
      </w:pPr>
      <w:r>
        <w:t>Bulk asset import (CSV/API; optional agent later).</w:t>
      </w:r>
    </w:p>
    <w:p>
      <w:pPr>
        <w:pStyle w:val="ListBullet"/>
      </w:pPr>
      <w:r>
        <w:t>Organization-defined SLA: decode TPS, prefill TPS, first-token latency, minimum context, compatibility tier.</w:t>
      </w:r>
    </w:p>
    <w:p>
      <w:pPr>
        <w:pStyle w:val="ListBullet"/>
      </w:pPr>
      <w:r>
        <w:t>Evaluate every machine deterministically and bucket by local viability.</w:t>
      </w:r>
    </w:p>
    <w:p>
      <w:pPr>
        <w:pStyle w:val="ListBullet"/>
      </w:pPr>
      <w:r>
        <w:t>Simulate upgrades across the fleet and calculate machines moved between tiers.</w:t>
      </w:r>
    </w:p>
    <w:p>
      <w:pPr>
        <w:pStyle w:val="ListBullet"/>
      </w:pPr>
      <w:r>
        <w:t>Export procurement/upgrade plans; preserve per-machine trace and evidence.</w:t>
      </w:r>
    </w:p>
    <w:p>
      <w:pPr>
        <w:pStyle w:val="Heading1"/>
      </w:pPr>
      <w:r>
        <w:t>18. Caching, Jobs &amp; Background Processing</w:t>
      </w:r>
    </w:p>
    <w:p>
      <w:pPr>
        <w:pStyle w:val="ListBullet"/>
      </w:pPr>
      <w:r>
        <w:t>Use Redis/cache + a queue such as BullMQ in v1; no Kafka.</w:t>
      </w:r>
    </w:p>
    <w:p>
      <w:pPr>
        <w:pStyle w:val="ListBullet"/>
      </w:pPr>
      <w:r>
        <w:t>Background jobs: ingestion, parsing, validation, stale-source checks, catalog import, exports, notifications, benchmark/drift processing, cleanup.</w:t>
      </w:r>
    </w:p>
    <w:p>
      <w:pPr>
        <w:pStyle w:val="ListBullet"/>
      </w:pPr>
      <w:r>
        <w:t>Jobs must be idempotent and retry-safe.</w:t>
      </w:r>
    </w:p>
    <w:p>
      <w:pPr>
        <w:pStyle w:val="ListBullet"/>
      </w:pPr>
      <w:r>
        <w:t>Cache keys include dataset/policy revisions so stale results are not reused across promotions.</w:t>
      </w:r>
    </w:p>
    <w:p>
      <w:pPr>
        <w:pStyle w:val="ListBullet"/>
      </w:pPr>
      <w:r>
        <w:t>Graceful degradation: Redis/worker/LLM-assist failures must not break core canonical evaluation when dependencies are available.</w:t>
      </w:r>
    </w:p>
    <w:p>
      <w:pPr>
        <w:pStyle w:val="Heading1"/>
      </w:pPr>
      <w:r>
        <w:t>19. Security &amp; Threat Model</w:t>
      </w:r>
    </w:p>
    <w:p>
      <w:pPr>
        <w:pStyle w:val="ListBullet"/>
      </w:pPr>
      <w:r>
        <w:t>Input length/enums/schema validation; ORM parameterization; output escaping.</w:t>
      </w:r>
    </w:p>
    <w:p>
      <w:pPr>
        <w:pStyle w:val="ListBullet"/>
      </w:pPr>
      <w:r>
        <w:t>CSP, HSTS, X-Content-Type-Options, Referrer-Policy, Permissions-Policy, secure cookies and CSRF protection where applicable.</w:t>
      </w:r>
    </w:p>
    <w:p>
      <w:pPr>
        <w:pStyle w:val="ListBullet"/>
      </w:pPr>
      <w:r>
        <w:t>No arbitrary URL fetch from user input; ingestion fetchers enforce allowlists, content-type/size limits, timeout and redirect rules.</w:t>
      </w:r>
    </w:p>
    <w:p>
      <w:pPr>
        <w:pStyle w:val="ListBullet"/>
      </w:pPr>
      <w:r>
        <w:t>Treat PDFs/archives/parsers as hostile: zip-bomb limits, parser sandboxing where needed, attachment size caps.</w:t>
      </w:r>
    </w:p>
    <w:p>
      <w:pPr>
        <w:pStyle w:val="ListBullet"/>
      </w:pPr>
      <w:r>
        <w:t>Prompt injection in LLM-assisted ingestion is a data-security issue; model outputs remain untrusted structured candidates.</w:t>
      </w:r>
    </w:p>
    <w:p>
      <w:pPr>
        <w:pStyle w:val="ListBullet"/>
      </w:pPr>
      <w:r>
        <w:t>Secrets rotation, least privilege, separate signing/billing/data credentials.</w:t>
      </w:r>
    </w:p>
    <w:p>
      <w:pPr>
        <w:pStyle w:val="ListBullet"/>
      </w:pPr>
      <w:r>
        <w:t>Dependency pinning, SBOM, vulnerability scanning, provenance/signing of build artifacts where feasible.</w:t>
      </w:r>
    </w:p>
    <w:p>
      <w:pPr>
        <w:pStyle w:val="ListBullet"/>
      </w:pPr>
      <w:r>
        <w:t>Minimize PII; define retention, deletion/export flows, and privacy policy.</w:t>
      </w:r>
    </w:p>
    <w:p>
      <w:pPr>
        <w:pStyle w:val="Heading1"/>
      </w:pPr>
      <w:r>
        <w:t>20. Observability &amp; SLOs</w:t>
      </w:r>
    </w:p>
    <w:p>
      <w:pPr>
        <w:pStyle w:val="ListBullet"/>
      </w:pPr>
      <w:r>
        <w:t>Structured logs with correlation IDs and evaluation fingerprints.</w:t>
      </w:r>
    </w:p>
    <w:p>
      <w:pPr>
        <w:pStyle w:val="ListBullet"/>
      </w:pPr>
      <w:r>
        <w:t>Metrics: evaluation/search/recommendation latency and errors, ambiguity rate, unknown rate, low-confidence rate, stale-source rate, import failures, queue lag.</w:t>
      </w:r>
    </w:p>
    <w:p>
      <w:pPr>
        <w:pStyle w:val="ListBullet"/>
      </w:pPr>
      <w:r>
        <w:t>Trace ingestion/promotion and canonical evaluation paths.</w:t>
      </w:r>
    </w:p>
    <w:p>
      <w:pPr>
        <w:pStyle w:val="ListBullet"/>
      </w:pPr>
      <w:r>
        <w:t>Define SLOs before launch (e.g., canonical evaluation availability and p95 latency) and track error budgets.</w:t>
      </w:r>
    </w:p>
    <w:p>
      <w:pPr>
        <w:pStyle w:val="ListBullet"/>
      </w:pPr>
      <w:r>
        <w:t>Calculation trace available in admin/dev mode without exposing internal secrets to end users.</w:t>
      </w:r>
    </w:p>
    <w:p>
      <w:pPr>
        <w:pStyle w:val="Heading1"/>
      </w:pPr>
      <w:r>
        <w:t>21. Testing Strategy</w:t>
      </w:r>
    </w:p>
    <w:p>
      <w:pPr>
        <w:pStyle w:val="ListBullet"/>
      </w:pPr>
      <w:r>
        <w:t>Unit tests for every engine rule and edge case.</w:t>
      </w:r>
    </w:p>
    <w:p>
      <w:pPr>
        <w:pStyle w:val="ListBullet"/>
      </w:pPr>
      <w:r>
        <w:t>Golden scenario corpus for expected compatibility outcomes.</w:t>
      </w:r>
    </w:p>
    <w:p>
      <w:pPr>
        <w:pStyle w:val="ListBullet"/>
      </w:pPr>
      <w:r>
        <w:t>Property/metamorphic tests: stronger hardware should not worsen a resource-only result; adding a hard blocker must not improve status; irrelevant-field changes must not alter output.</w:t>
      </w:r>
    </w:p>
    <w:p>
      <w:pPr>
        <w:pStyle w:val="ListBullet"/>
      </w:pPr>
      <w:r>
        <w:t>Client/server parity tests: same input + dataset + policy produces identical fingerprint.</w:t>
      </w:r>
    </w:p>
    <w:p>
      <w:pPr>
        <w:pStyle w:val="ListBullet"/>
      </w:pPr>
      <w:r>
        <w:t>Fuzz normalization/search/parser inputs.</w:t>
      </w:r>
    </w:p>
    <w:p>
      <w:pPr>
        <w:pStyle w:val="ListBullet"/>
      </w:pPr>
      <w:r>
        <w:t>Integration tests against real PostgreSQL, queue and export paths.</w:t>
      </w:r>
    </w:p>
    <w:p>
      <w:pPr>
        <w:pStyle w:val="ListBullet"/>
      </w:pPr>
      <w:r>
        <w:t>Playwright end-to-end flows for anonymous evaluation, login/save, share, upgrade simulation, AI context/offload, and business import.</w:t>
      </w:r>
    </w:p>
    <w:p>
      <w:pPr>
        <w:pStyle w:val="ListBullet"/>
      </w:pPr>
      <w:r>
        <w:t>Dataset promotion regression gate over golden corpus + anonymized historical scenarios + disputed/low-confidence edge cases.</w:t>
      </w:r>
    </w:p>
    <w:p>
      <w:pPr>
        <w:pStyle w:val="Heading1"/>
      </w:pPr>
      <w:r>
        <w:t>22. Deployment &amp; Operations</w:t>
      </w:r>
    </w:p>
    <w:p>
      <w:pPr>
        <w:pStyle w:val="CodeBlock"/>
        <w:shd w:fill="F3F5F7"/>
      </w:pPr>
      <w:r>
        <w:t>CDN / Edge</w:t>
        <w:br/>
        <w:t xml:space="preserve">   ↓</w:t>
        <w:br/>
        <w:t>Next.js application</w:t>
        <w:br/>
        <w:t xml:space="preserve">   ↓</w:t>
        <w:br/>
        <w:t>PostgreSQL  ←→  Redis / queue  ←→  worker</w:t>
        <w:br/>
        <w:t xml:space="preserve">   ↓</w:t>
        <w:br/>
        <w:t>Object storage (raw source snapshots, generated reports)</w:t>
        <w:br/>
        <w:br/>
        <w:t>External: email provider, billing provider, optional market-data providers</w:t>
      </w:r>
    </w:p>
    <w:p>
      <w:pPr>
        <w:pStyle w:val="ListBullet"/>
      </w:pPr>
      <w:r>
        <w:t>Multi-stage Dockerfile and docker-compose local environment.</w:t>
      </w:r>
    </w:p>
    <w:p>
      <w:pPr>
        <w:pStyle w:val="ListBullet"/>
      </w:pPr>
      <w:r>
        <w:t>Safe forward-compatible migrations; expand/migrate/contract for risky schema changes.</w:t>
      </w:r>
    </w:p>
    <w:p>
      <w:pPr>
        <w:pStyle w:val="ListBullet"/>
      </w:pPr>
      <w:r>
        <w:t>Backups, PITR, restore tests; define RPO/RTO.</w:t>
      </w:r>
    </w:p>
    <w:p>
      <w:pPr>
        <w:pStyle w:val="ListBullet"/>
      </w:pPr>
      <w:r>
        <w:t>Feature flags for risky product/data/engine rollouts.</w:t>
      </w:r>
    </w:p>
    <w:p>
      <w:pPr>
        <w:pStyle w:val="ListBullet"/>
      </w:pPr>
      <w:r>
        <w:t>Shadow evaluation can compare old/new engine on live-shaped requests without changing user-visible results.</w:t>
      </w:r>
    </w:p>
    <w:p>
      <w:pPr>
        <w:pStyle w:val="ListBullet"/>
      </w:pPr>
      <w:r>
        <w:t>Use canary/staging promotion for dataset and engine changes.</w:t>
      </w:r>
    </w:p>
    <w:p>
      <w:pPr>
        <w:pStyle w:val="Heading1"/>
      </w:pPr>
      <w:r>
        <w:t>23. Data Licensing &amp; Governance</w:t>
      </w:r>
    </w:p>
    <w:p>
      <w:pPr>
        <w:pStyle w:val="ListBullet"/>
      </w:pPr>
      <w:r>
        <w:t>Track license, permitted commercial use, attribution, source owner, acquisition method, retention restrictions, and terms/robots constraints.</w:t>
      </w:r>
    </w:p>
    <w:p>
      <w:pPr>
        <w:pStyle w:val="ListBullet"/>
      </w:pPr>
      <w:r>
        <w:t>Do not build commercial pricing/benchmark features on unauthorized scraping assumptions.</w:t>
      </w:r>
    </w:p>
    <w:p>
      <w:pPr>
        <w:pStyle w:val="ListBullet"/>
      </w:pPr>
      <w:r>
        <w:t>Volatile price data should include region, currency, tax/shipping assumptions, timestamp, seller, availability and source.</w:t>
      </w:r>
    </w:p>
    <w:p>
      <w:pPr>
        <w:pStyle w:val="ListBullet"/>
      </w:pPr>
      <w:r>
        <w:t>Keep authoritative requirement data separate from volatile market data.</w:t>
      </w:r>
    </w:p>
    <w:p>
      <w:pPr>
        <w:pStyle w:val="ListBullet"/>
      </w:pPr>
      <w:r>
        <w:t>Support corrections/disputes and immutable audit history for published revisions.</w:t>
      </w:r>
    </w:p>
    <w:p>
      <w:pPr>
        <w:pStyle w:val="Heading1"/>
      </w:pPr>
      <w:r>
        <w:t>24. Future Architecture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Extension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Trigger / notes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Dedicated search engine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Only after measured p95/relevance/faceting/DB-load pressure exceeds PostgreSQL strategy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Read replica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Search/read scaling without changing source of truth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Physical parts compatibility engine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Socket/chipset/BIOS/RAM/PSU/connectors/case dimensions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Local telemetry/benchmark agent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Optional, privacy-preserving, user-approved measurement path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SSO/SCIM/Webhooks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Business maturity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Advanced confidence calibration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Empirical calibration from observed predictions vs measurements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Market recommendation service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Regional pricing, availability, affiliate attribution; isolate volatile data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Historical code execution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Only if audit/compliance requires exact recomputation; snapshots remain default</w:t>
            </w:r>
          </w:p>
        </w:tc>
      </w:tr>
    </w:tbl>
    <w:p>
      <w:pPr>
        <w:pStyle w:val="Heading1"/>
      </w:pPr>
      <w:r>
        <w:t>25. Implementation Order &amp; Definition of Done</w:t>
      </w:r>
    </w:p>
    <w:p>
      <w:pPr>
        <w:pStyle w:val="ListNumber"/>
      </w:pPr>
      <w:r>
        <w:t>Finalize domain types, requirement schema, provenance model, and fixtures.</w:t>
      </w:r>
    </w:p>
    <w:p>
      <w:pPr>
        <w:pStyle w:val="ListNumber"/>
      </w:pPr>
      <w:r>
        <w:t>Implement normalization + canonical hardware/software/model identity.</w:t>
      </w:r>
    </w:p>
    <w:p>
      <w:pPr>
        <w:pStyle w:val="ListNumber"/>
      </w:pPr>
      <w:r>
        <w:t>Implement pure compatibility engine and &gt;100 rule/property tests.</w:t>
      </w:r>
    </w:p>
    <w:p>
      <w:pPr>
        <w:pStyle w:val="ListNumber"/>
      </w:pPr>
      <w:r>
        <w:t>Implement recommendation/simulation engine.</w:t>
      </w:r>
    </w:p>
    <w:p>
      <w:pPr>
        <w:pStyle w:val="ListNumber"/>
      </w:pPr>
      <w:r>
        <w:t>Implement data ingestion/revision/promotion workflow and verified seed data.</w:t>
      </w:r>
    </w:p>
    <w:p>
      <w:pPr>
        <w:pStyle w:val="ListNumber"/>
      </w:pPr>
      <w:r>
        <w:t>Expose canonical API and minimal anonymous UI.</w:t>
      </w:r>
    </w:p>
    <w:p>
      <w:pPr>
        <w:pStyle w:val="ListNumber"/>
      </w:pPr>
      <w:r>
        <w:t>Add local-AI runtime/residency/KV-cache model; then calibrate speed estimates with measured benchmarks.</w:t>
      </w:r>
    </w:p>
    <w:p>
      <w:pPr>
        <w:pStyle w:val="ListNumber"/>
      </w:pPr>
      <w:r>
        <w:t>Add accounts/save/share/export/QR.</w:t>
      </w:r>
    </w:p>
    <w:p>
      <w:pPr>
        <w:pStyle w:val="ListNumber"/>
      </w:pPr>
      <w:r>
        <w:t>Add worker, notifications, payments/entitlements.</w:t>
      </w:r>
    </w:p>
    <w:p>
      <w:pPr>
        <w:pStyle w:val="ListNumber"/>
      </w:pPr>
      <w:r>
        <w:t>Add fleet evaluation and market/product matching.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8F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1220"/>
              </w:rPr>
              <w:t>Definition of Done for a production compatibility decision</w:t>
              <w:br/>
            </w:r>
            <w:r>
              <w:rPr>
                <w:color w:val="475569"/>
              </w:rPr>
              <w:t>The result is reproducible from an immutable snapshot; every decisive rule has evidence/provenance; UNKNOWN is preserved rather than fabricated; hard blockers are distinguishable from poor performance; client/server parity passes; dataset/policy/engine versions are recorded; and regression tests cover the scenario.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ComputeBestSpecs • Confidential Product Specification</w:t>
    </w:r>
    <w:r>
      <w:rPr>
        <w:color w:val="64748B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7C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Aptos Mono" w:hAnsi="Aptos Mono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