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26BD6"/>
          <w:sz w:val="52"/>
        </w:rPr>
        <w:t>ComputeBestSpecs</w:t>
      </w:r>
    </w:p>
    <w:p>
      <w:pPr>
        <w:spacing w:after="120"/>
      </w:pPr>
      <w:r>
        <w:rPr>
          <w:b/>
          <w:color w:val="22324A"/>
          <w:sz w:val="28"/>
        </w:rPr>
        <w:t>UI Design System, Component Architecture &amp; Multi-App Concurrency Specification</w:t>
      </w:r>
    </w:p>
    <w:p>
      <w:pPr>
        <w:spacing w:after="280"/>
      </w:pPr>
      <w:r>
        <w:rPr>
          <w:i/>
          <w:color w:val="7D8CA3"/>
          <w:sz w:val="19"/>
        </w:rPr>
        <w:t>Updated Edition (v2.0) • Complete Design Tokens, Light/System/Dark Modes, Application Catalog &amp; Concurrency Architecture</w:t>
      </w:r>
    </w:p>
    <w:p>
      <w:pPr>
        <w:keepNext/>
        <w:spacing w:before="320" w:after="80"/>
      </w:pPr>
      <w:r>
        <w:rPr>
          <w:b/>
          <w:color w:val="126BD6"/>
          <w:sz w:val="28"/>
        </w:rPr>
        <w:t>1. Purpose and Non-Negotiable Design Rules</w:t>
      </w:r>
    </w:p>
    <w:p>
      <w:pPr>
        <w:spacing w:after="80" w:line="276" w:lineRule="auto"/>
      </w:pPr>
      <w:r>
        <w:rPr>
          <w:color w:val="536783"/>
        </w:rPr>
        <w:t>This specification is the single source of truth for the visual design system, interaction tokens, and component behavior across ComputeBestSpecs. It prevents accidental low-contrast combinations, ensures mathematical concurrency clarity, and establishes clean responsive patterns for mobile, tablet, and desktop viewports.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Default Experience: </w:t>
      </w:r>
      <w:r>
        <w:rPr>
          <w:color w:val="536783"/>
        </w:rPr>
        <w:t>Light mode is the default daylight experience (#FFFEFC ivory canvas). Dark mode (#0B0F17) is an equal OLED-optimized theme. System mode dynamically follows the OS.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Semantic Token Law: </w:t>
      </w:r>
      <w:r>
        <w:rPr>
          <w:color w:val="536783"/>
        </w:rPr>
        <w:t>All components consume CSS custom properties (e.g., var(--card-main), var(--text-strong)). Hard-coded hex colors in application components are strictly forbidden.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Selection vs. Semantic Status: </w:t>
      </w:r>
      <w:r>
        <w:rPr>
          <w:color w:val="536783"/>
        </w:rPr>
        <w:t>The vibrant orange token (#FF761A) is designated exclusively as an Active Selection Accent (e.g. chosen presets, active chips). It must never be used to represent warning or error states.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Dual-Mode Concurrency Clarity: </w:t>
      </w:r>
      <w:r>
        <w:rPr>
          <w:color w:val="536783"/>
        </w:rPr>
        <w:t>The multi-workload engine must clearly communicate whether calculations are running in Simultaneous Multitasking Mode (combined working sets + OS overhead) or Isolated Standalone Mode.</w:t>
      </w:r>
    </w:p>
    <w:p>
      <w:pPr>
        <w:keepNext/>
        <w:spacing w:before="320" w:after="80"/>
      </w:pPr>
      <w:r>
        <w:rPr>
          <w:b/>
          <w:color w:val="126BD6"/>
          <w:sz w:val="28"/>
        </w:rPr>
        <w:t>2. Semantic Color Architecture &amp; Design Tokens</w:t>
      </w:r>
    </w:p>
    <w:p>
      <w:pPr>
        <w:spacing w:after="80" w:line="276" w:lineRule="auto"/>
      </w:pPr>
      <w:r>
        <w:rPr>
          <w:color w:val="536783"/>
        </w:rPr>
        <w:t>The color architecture uses curated HSL/Hex tokens with distinct roles for Day and Night modes:</w:t>
      </w:r>
    </w:p>
    <w:p>
      <w:pPr>
        <w:keepNext/>
        <w:spacing w:before="240" w:after="60"/>
      </w:pPr>
      <w:r>
        <w:rPr>
          <w:b/>
          <w:color w:val="22324A"/>
          <w:sz w:val="23"/>
        </w:rPr>
        <w:t>2.1 Day / Light Mode Palette (Default)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26BD6"/>
          </w:tcPr>
          <w:p>
            <w:r>
              <w:rPr>
                <w:b/>
                <w:color w:val="FFFFFF"/>
                <w:sz w:val="18"/>
              </w:rPr>
              <w:t>Token Name</w:t>
            </w:r>
          </w:p>
        </w:tc>
        <w:tc>
          <w:tcPr>
            <w:tcW w:type="dxa" w:w="2592"/>
            <w:shd w:fill="126BD6"/>
          </w:tcPr>
          <w:p>
            <w:r>
              <w:rPr>
                <w:b/>
                <w:color w:val="FFFFFF"/>
                <w:sz w:val="18"/>
              </w:rPr>
              <w:t>CSS Variable</w:t>
            </w:r>
          </w:p>
        </w:tc>
        <w:tc>
          <w:tcPr>
            <w:tcW w:type="dxa" w:w="1440"/>
            <w:shd w:fill="126BD6"/>
          </w:tcPr>
          <w:p>
            <w:r>
              <w:rPr>
                <w:b/>
                <w:color w:val="FFFFFF"/>
                <w:sz w:val="18"/>
              </w:rPr>
              <w:t>Hex Value</w:t>
            </w:r>
          </w:p>
        </w:tc>
        <w:tc>
          <w:tcPr>
            <w:tcW w:type="dxa" w:w="3600"/>
            <w:shd w:fill="126BD6"/>
          </w:tcPr>
          <w:p>
            <w:r>
              <w:rPr>
                <w:b/>
                <w:color w:val="FFFFFF"/>
                <w:sz w:val="18"/>
              </w:rPr>
              <w:t>Usage &amp; Semantics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color w:val="22324A"/>
                <w:sz w:val="17"/>
              </w:rPr>
              <w:t>Canvas / Background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--bg-main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#FFFEFC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536783"/>
                <w:sz w:val="17"/>
              </w:rPr>
              <w:t>Primary page background (crisp warm ivory)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color w:val="22324A"/>
                <w:sz w:val="17"/>
              </w:rPr>
              <w:t>Secondary Well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color w:val="22324A"/>
                <w:sz w:val="17"/>
              </w:rPr>
              <w:t>--bg-secondary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Courier New" w:hAnsi="Courier New"/>
                <w:color w:val="22324A"/>
                <w:sz w:val="17"/>
              </w:rPr>
              <w:t>#F6F3EE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536783"/>
                <w:sz w:val="17"/>
              </w:rPr>
              <w:t>Well areas, search bars, and subtle backgrounds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color w:val="22324A"/>
                <w:sz w:val="17"/>
              </w:rPr>
              <w:t>Card Surface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--card-main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#FFFEFC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536783"/>
                <w:sz w:val="17"/>
              </w:rPr>
              <w:t>Main component cards with subtle border definition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color w:val="22324A"/>
                <w:sz w:val="17"/>
              </w:rPr>
              <w:t>Card Elevated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color w:val="22324A"/>
                <w:sz w:val="17"/>
              </w:rPr>
              <w:t>--card-elevated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Courier New" w:hAnsi="Courier New"/>
                <w:color w:val="22324A"/>
                <w:sz w:val="17"/>
              </w:rPr>
              <w:t>#F0F2F1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536783"/>
                <w:sz w:val="17"/>
              </w:rPr>
              <w:t>Hover states, interactive chips, and dropdown menus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color w:val="22324A"/>
                <w:sz w:val="17"/>
              </w:rPr>
              <w:t>Typography Strong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--text-strong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#22324A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536783"/>
                <w:sz w:val="17"/>
              </w:rPr>
              <w:t>Primary headings, titles, and critical scores (deep navy)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color w:val="22324A"/>
                <w:sz w:val="17"/>
              </w:rPr>
              <w:t>Typography Body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color w:val="22324A"/>
                <w:sz w:val="17"/>
              </w:rPr>
              <w:t>--text-body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Courier New" w:hAnsi="Courier New"/>
                <w:color w:val="22324A"/>
                <w:sz w:val="17"/>
              </w:rPr>
              <w:t>#536783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536783"/>
                <w:sz w:val="17"/>
              </w:rPr>
              <w:t>Paragraph body text, subheadings, and explanations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color w:val="22324A"/>
                <w:sz w:val="17"/>
              </w:rPr>
              <w:t>Typography Muted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--text-muted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#7D8CA3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536783"/>
                <w:sz w:val="17"/>
              </w:rPr>
              <w:t>Secondary labels, timestamps, and input placeholders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color w:val="22324A"/>
                <w:sz w:val="17"/>
              </w:rPr>
              <w:t>Border Subtle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color w:val="22324A"/>
                <w:sz w:val="17"/>
              </w:rPr>
              <w:t>--border-subtle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Courier New" w:hAnsi="Courier New"/>
                <w:color w:val="22324A"/>
                <w:sz w:val="17"/>
              </w:rPr>
              <w:t>#D7E1EA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536783"/>
                <w:sz w:val="17"/>
              </w:rPr>
              <w:t>Standard card borders, dividers, and container edges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color w:val="22324A"/>
                <w:sz w:val="17"/>
              </w:rPr>
              <w:t>Border Strong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--border-strong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#C3D1DF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536783"/>
                <w:sz w:val="17"/>
              </w:rPr>
              <w:t>Active inputs, hover boundaries, and emphasized cards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color w:val="22324A"/>
                <w:sz w:val="17"/>
              </w:rPr>
              <w:t>Brand Primary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color w:val="22324A"/>
                <w:sz w:val="17"/>
              </w:rPr>
              <w:t>--brand-primary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Courier New" w:hAnsi="Courier New"/>
                <w:color w:val="22324A"/>
                <w:sz w:val="17"/>
              </w:rPr>
              <w:t>#126BD6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536783"/>
                <w:sz w:val="17"/>
              </w:rPr>
              <w:t>Primary buttons, active indicators, and focus rings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color w:val="22324A"/>
                <w:sz w:val="17"/>
              </w:rPr>
              <w:t>Brand Cyan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--brand-cyan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#1689A8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536783"/>
                <w:sz w:val="17"/>
              </w:rPr>
              <w:t>RAM &amp; memory capacity indicators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color w:val="22324A"/>
                <w:sz w:val="17"/>
              </w:rPr>
              <w:t>Brand Violet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color w:val="22324A"/>
                <w:sz w:val="17"/>
              </w:rPr>
              <w:t>--brand-violet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Courier New" w:hAnsi="Courier New"/>
                <w:color w:val="22324A"/>
                <w:sz w:val="17"/>
              </w:rPr>
              <w:t>#7046D9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536783"/>
                <w:sz w:val="17"/>
              </w:rPr>
              <w:t>VRAM &amp; graphics engine indicators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color w:val="22324A"/>
                <w:sz w:val="17"/>
              </w:rPr>
              <w:t>Selection Accent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--accent-selection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ourier New" w:hAnsi="Courier New"/>
                <w:color w:val="22324A"/>
                <w:sz w:val="17"/>
              </w:rPr>
              <w:t>#FF761A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536783"/>
                <w:sz w:val="17"/>
              </w:rPr>
              <w:t>Highlighted choices, selected model chips, active radio</w:t>
            </w:r>
          </w:p>
        </w:tc>
      </w:tr>
    </w:tbl>
    <w:p>
      <w:pPr>
        <w:spacing w:after="160"/>
      </w:pPr>
    </w:p>
    <w:p>
      <w:pPr>
        <w:keepNext/>
        <w:spacing w:before="240" w:after="60"/>
      </w:pPr>
      <w:r>
        <w:rPr>
          <w:b/>
          <w:color w:val="22324A"/>
          <w:sz w:val="23"/>
        </w:rPr>
        <w:t>2.2 Night / Dark Mode Palette</w:t>
      </w:r>
    </w:p>
    <w:p>
      <w:pPr>
        <w:spacing w:after="80" w:line="276" w:lineRule="auto"/>
      </w:pPr>
      <w:r>
        <w:rPr>
          <w:color w:val="536783"/>
        </w:rPr>
        <w:t>The night palette provides true dark efficiency without eye-strain, maintaining full contrast alignment with day tokens: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Night Canvas: </w:t>
      </w:r>
      <w:r>
        <w:rPr>
          <w:color w:val="536783"/>
        </w:rPr>
        <w:t>#0B0F17 (Deep slate void)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Night Card Surface: </w:t>
      </w:r>
      <w:r>
        <w:rPr>
          <w:color w:val="536783"/>
        </w:rPr>
        <w:t>#111827 (Layer 1 elevated card)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Night Card Elevated: </w:t>
      </w:r>
      <w:r>
        <w:rPr>
          <w:color w:val="536783"/>
        </w:rPr>
        <w:t>#1F2937 (Layer 2 interactive hover / active wells)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Night Text Primary: </w:t>
      </w:r>
      <w:r>
        <w:rPr>
          <w:color w:val="536783"/>
        </w:rPr>
        <w:t>#F3F4F6 (Crisp high-contrast text)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Night Text Body: </w:t>
      </w:r>
      <w:r>
        <w:rPr>
          <w:color w:val="536783"/>
        </w:rPr>
        <w:t>#9CA3AF (Balanced neutral reading text)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Night Borders: </w:t>
      </w:r>
      <w:r>
        <w:rPr>
          <w:color w:val="536783"/>
        </w:rPr>
        <w:t>#1F2937 (Subtle) • #374151 (Strong interactive boundary)</w:t>
      </w:r>
    </w:p>
    <w:p>
      <w:pPr>
        <w:keepNext/>
        <w:spacing w:before="320" w:after="80"/>
      </w:pPr>
      <w:r>
        <w:rPr>
          <w:b/>
          <w:color w:val="126BD6"/>
          <w:sz w:val="28"/>
        </w:rPr>
        <w:t>3. Explicit Theme Distinction: Light vs. System vs. Dark</w:t>
      </w:r>
    </w:p>
    <w:p>
      <w:pPr>
        <w:spacing w:after="80" w:line="276" w:lineRule="auto"/>
      </w:pPr>
      <w:r>
        <w:rPr>
          <w:color w:val="536783"/>
        </w:rPr>
        <w:t>ComputeBestSpecs provides three distinct appearance states with explicit visual cues across the entire application interface: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22324A"/>
          </w:tcPr>
          <w:p>
            <w:r>
              <w:rPr>
                <w:b/>
                <w:color w:val="FFFFFF"/>
                <w:sz w:val="18"/>
              </w:rPr>
              <w:t>Theme Mode</w:t>
            </w:r>
          </w:p>
        </w:tc>
        <w:tc>
          <w:tcPr>
            <w:tcW w:type="dxa" w:w="1872"/>
            <w:shd w:fill="22324A"/>
          </w:tcPr>
          <w:p>
            <w:r>
              <w:rPr>
                <w:b/>
                <w:color w:val="FFFFFF"/>
                <w:sz w:val="18"/>
              </w:rPr>
              <w:t>Nav Icon</w:t>
            </w:r>
          </w:p>
        </w:tc>
        <w:tc>
          <w:tcPr>
            <w:tcW w:type="dxa" w:w="2160"/>
            <w:shd w:fill="22324A"/>
          </w:tcPr>
          <w:p>
            <w:r>
              <w:rPr>
                <w:b/>
                <w:color w:val="FFFFFF"/>
                <w:sz w:val="18"/>
              </w:rPr>
              <w:t>DOM Attributes</w:t>
            </w:r>
          </w:p>
        </w:tc>
        <w:tc>
          <w:tcPr>
            <w:tcW w:type="dxa" w:w="4032"/>
            <w:shd w:fill="22324A"/>
          </w:tcPr>
          <w:p>
            <w:r>
              <w:rPr>
                <w:b/>
                <w:color w:val="FFFFFF"/>
                <w:sz w:val="18"/>
              </w:rPr>
              <w:t>Visual Behavior &amp; Status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color w:val="22324A"/>
                <w:sz w:val="17"/>
              </w:rPr>
              <w:t>Light Mode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22324A"/>
                <w:sz w:val="17"/>
              </w:rPr>
              <w:t>Sun (Amber)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22324A"/>
                <w:sz w:val="17"/>
              </w:rPr>
              <w:t>data-theme="light"</w:t>
              <w:br/>
              <w:t>data-theme-preference="light"</w:t>
            </w:r>
          </w:p>
        </w:tc>
        <w:tc>
          <w:tcPr>
            <w:tcW w:type="dxa" w:w="4032"/>
            <w:shd w:fill="FFFFFF"/>
          </w:tcPr>
          <w:p>
            <w:r>
              <w:rPr>
                <w:color w:val="22324A"/>
                <w:sz w:val="17"/>
              </w:rPr>
              <w:t>Forces fixed ivory daylight palette (#FFFEFC). Title: 'Theme: Light (Fixed)'.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color w:val="22324A"/>
                <w:sz w:val="17"/>
              </w:rPr>
              <w:t>Dark Mode</w:t>
            </w:r>
          </w:p>
        </w:tc>
        <w:tc>
          <w:tcPr>
            <w:tcW w:type="dxa" w:w="1872"/>
            <w:shd w:fill="F8FAFC"/>
          </w:tcPr>
          <w:p>
            <w:r>
              <w:rPr>
                <w:color w:val="22324A"/>
                <w:sz w:val="17"/>
              </w:rPr>
              <w:t>Moon (Indigo)</w:t>
            </w:r>
          </w:p>
        </w:tc>
        <w:tc>
          <w:tcPr>
            <w:tcW w:type="dxa" w:w="2160"/>
            <w:shd w:fill="F8FAFC"/>
          </w:tcPr>
          <w:p>
            <w:r>
              <w:rPr>
                <w:color w:val="22324A"/>
                <w:sz w:val="17"/>
              </w:rPr>
              <w:t>data-theme="dark"</w:t>
              <w:br/>
              <w:t>data-theme-preference="dark"</w:t>
            </w:r>
          </w:p>
        </w:tc>
        <w:tc>
          <w:tcPr>
            <w:tcW w:type="dxa" w:w="4032"/>
            <w:shd w:fill="F8FAFC"/>
          </w:tcPr>
          <w:p>
            <w:r>
              <w:rPr>
                <w:color w:val="22324A"/>
                <w:sz w:val="17"/>
              </w:rPr>
              <w:t>Forces fixed deep slate OLED palette (#0B0F17). Title: 'Theme: Dark (Fixed)'.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color w:val="22324A"/>
                <w:sz w:val="17"/>
              </w:rPr>
              <w:t>System Mode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22324A"/>
                <w:sz w:val="17"/>
              </w:rPr>
              <w:t>Laptop + Live Dot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22324A"/>
                <w:sz w:val="17"/>
              </w:rPr>
              <w:t>data-theme="[active]"</w:t>
              <w:br/>
              <w:t>data-theme-preference="system"</w:t>
            </w:r>
          </w:p>
        </w:tc>
        <w:tc>
          <w:tcPr>
            <w:tcW w:type="dxa" w:w="4032"/>
            <w:shd w:fill="FFFFFF"/>
          </w:tcPr>
          <w:p>
            <w:r>
              <w:rPr>
                <w:color w:val="22324A"/>
                <w:sz w:val="17"/>
              </w:rPr>
              <w:t>Dynamically syncs with OS color schedule. Features live sync indicator dot and subtitle 'Auto (OS is Dark/Light)'.</w:t>
            </w:r>
          </w:p>
        </w:tc>
      </w:tr>
    </w:tbl>
    <w:p>
      <w:pPr>
        <w:spacing w:after="160"/>
      </w:pPr>
    </w:p>
    <w:p>
      <w:pPr>
        <w:keepNext/>
        <w:spacing w:before="320" w:after="80"/>
      </w:pPr>
      <w:r>
        <w:rPr>
          <w:b/>
          <w:color w:val="126BD6"/>
          <w:sz w:val="28"/>
        </w:rPr>
        <w:t>4. Searchable Application Catalog &amp; Concurrency Builder</w:t>
      </w:r>
    </w:p>
    <w:p>
      <w:pPr>
        <w:spacing w:after="80" w:line="276" w:lineRule="auto"/>
      </w:pPr>
      <w:r>
        <w:rPr>
          <w:color w:val="536783"/>
        </w:rPr>
        <w:t>The application selection architecture enables users to build realistic multi-app stacks reflecting authentic daily professional workflows: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Curated Application Catalog: </w:t>
      </w:r>
      <w:r>
        <w:rPr>
          <w:color w:val="536783"/>
        </w:rPr>
        <w:t>35+ pre-calibrated software profiles across 6 domains (Creative/Design, Dev/Eng, Local AI/Data, Gaming/3D, CAD/BIM, Daily Office).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Search &amp; Filter Controls: </w:t>
      </w:r>
      <w:r>
        <w:rPr>
          <w:color w:val="536783"/>
        </w:rPr>
        <w:t>Instant real-time query filtering by application name or category, accompanied by category pill filters and memory demand badges (e.g. '~8.0GB RAM').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Workload Intensity Selector: </w:t>
      </w:r>
      <w:r>
        <w:rPr>
          <w:color w:val="536783"/>
        </w:rPr>
        <w:t>Per-app intensity adjustment (Light: casual editing/small repos; Medium: production workflows; Heavy: 8K rendering, huge compilations).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Instance Multipliers: </w:t>
      </w:r>
      <w:r>
        <w:rPr>
          <w:color w:val="536783"/>
        </w:rPr>
        <w:t>Granular quantity counters for virtualization &amp; multi-instance tools (e.g. running 2× Android Emulators or multiple Docker containers simultaneously).</w:t>
      </w:r>
    </w:p>
    <w:p>
      <w:pPr>
        <w:keepNext/>
        <w:spacing w:before="240" w:after="60"/>
      </w:pPr>
      <w:r>
        <w:rPr>
          <w:b/>
          <w:color w:val="22324A"/>
          <w:sz w:val="23"/>
        </w:rPr>
        <w:t>4.1 Simultaneous Concurrency Tooltip &amp; Popover Spec</w:t>
      </w:r>
    </w:p>
    <w:p>
      <w:pPr>
        <w:spacing w:after="80" w:line="276" w:lineRule="auto"/>
      </w:pPr>
      <w:r>
        <w:rPr>
          <w:color w:val="536783"/>
        </w:rPr>
        <w:t>Next to the 'Run Simultaneously' toggle in both WorkloadStackBuilder and SoftwarePicker, an interactive (i) button reveals an explanatory popover: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✓ Checked (Simultaneous Multitasking): </w:t>
      </w:r>
      <w:r>
        <w:rPr>
          <w:color w:val="536783"/>
        </w:rPr>
        <w:t>Simulates concurrent execution when all selected applications run in parallel. Memory working sets and CPU threads are stacked with concurrency weights (1.0 Foreground, 0.65 Background) plus OS base reserve overhead.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◻ Unchecked (Single-App Standalone): </w:t>
      </w:r>
      <w:r>
        <w:rPr>
          <w:color w:val="536783"/>
        </w:rPr>
        <w:t>Evaluates whether the hardware can execute each program individually in isolation, assuming background heavy software is closed prior to launching.</w:t>
      </w:r>
    </w:p>
    <w:p>
      <w:pPr>
        <w:keepNext/>
        <w:spacing w:before="320" w:after="80"/>
      </w:pPr>
      <w:r>
        <w:rPr>
          <w:b/>
          <w:color w:val="126BD6"/>
          <w:sz w:val="28"/>
        </w:rPr>
        <w:t>5. Hardware Profile Selector &amp; Extended Catalog</w:t>
      </w:r>
    </w:p>
    <w:p>
      <w:pPr>
        <w:spacing w:after="80" w:line="276" w:lineRule="auto"/>
      </w:pPr>
      <w:r>
        <w:rPr>
          <w:color w:val="536783"/>
        </w:rPr>
        <w:t>The hardware configuration system accommodates both fast 1-click preset discovery and exhaustive manual parameter customization: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40+ Curated Presets: </w:t>
      </w:r>
      <w:r>
        <w:rPr>
          <w:color w:val="536783"/>
        </w:rPr>
        <w:t>Covers Apple Silicon (M4, M4 Pro, M4 Max, M3, M2 Ultra), NVIDIA GeForce RTX (Blackwell RTX 5090 32GB, RTX 5080 16GB, RTX 4090, RTX 4080 Super), AMD Ryzen &amp; Radeon, Intel Core Ultra &amp; 14th Gen.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Extended Manual Memory: </w:t>
      </w:r>
      <w:r>
        <w:rPr>
          <w:color w:val="536783"/>
        </w:rPr>
        <w:t>Categorized RAM dropdown spans from 8GB up to 256GB with vendor classification (Apple Unified, Mainstream DDR4/DDR5, Workstation ECC).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Storage &amp; Scratch Disks: </w:t>
      </w:r>
      <w:r>
        <w:rPr>
          <w:color w:val="536783"/>
        </w:rPr>
        <w:t>NVMe SSD options up to 8TB with dynamic free-space calculations.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Operating System Families: </w:t>
      </w:r>
      <w:r>
        <w:rPr>
          <w:color w:val="536783"/>
        </w:rPr>
        <w:t>16 categorized OS options across macOS (Sequoia 15, Sonoma 14, Ventura 13), Windows (11, 10), and Linux (Ubuntu 24.04/22.04, Fedora, Arch, Debian).</w:t>
      </w:r>
    </w:p>
    <w:p>
      <w:pPr>
        <w:keepNext/>
        <w:spacing w:before="320" w:after="80"/>
      </w:pPr>
      <w:r>
        <w:rPr>
          <w:b/>
          <w:color w:val="126BD6"/>
          <w:sz w:val="28"/>
        </w:rPr>
        <w:t>6. Diagnostic Engine, Bottleneck Cards &amp; Live Simulation</w:t>
      </w:r>
    </w:p>
    <w:p>
      <w:pPr>
        <w:spacing w:after="80" w:line="276" w:lineRule="auto"/>
      </w:pPr>
      <w:r>
        <w:rPr>
          <w:color w:val="536783"/>
        </w:rPr>
        <w:t>The evaluation system presents a clear 6-step diagnostic hierarchy: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Step 1: Match Score &amp; Verdict: </w:t>
      </w:r>
      <w:r>
        <w:rPr>
          <w:color w:val="536783"/>
        </w:rPr>
        <w:t>Normalized 0-100 score with verdict tier ('Recommended', 'Playable with Constraints', 'Bottleneck Detected').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Step 2: Primary Bottleneck Card: </w:t>
      </w:r>
      <w:r>
        <w:rPr>
          <w:color w:val="536783"/>
        </w:rPr>
        <w:t>Isolates the specific limiting resource (e.g. RAM, VRAM, Storage) with exact installed vs peak required metrics.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Step 3: One-Click Upgrade Simulation: </w:t>
      </w:r>
      <w:r>
        <w:rPr>
          <w:color w:val="536783"/>
        </w:rPr>
        <w:t>'Simulate Upgrade' action button tests the impact of adding RAM or upgrading GPU in real time.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Step 4: System Resource Fingerprint: </w:t>
      </w:r>
      <w:r>
        <w:rPr>
          <w:color w:val="536783"/>
        </w:rPr>
        <w:t>Multi-axis visual radar map displaying capacity distribution across CPU, GPU, RAM, VRAM, and Storage.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Step 5: Interactive What-If Simulator: </w:t>
      </w:r>
      <w:r>
        <w:rPr>
          <w:color w:val="536783"/>
        </w:rPr>
        <w:t>Sliders and component swaps to model future hardware upgrade paths without restarting the check.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Step 6: Official Provenance &amp; Sources: </w:t>
      </w:r>
      <w:r>
        <w:rPr>
          <w:color w:val="536783"/>
        </w:rPr>
        <w:t>Collapsible verification drawer citing official manufacturer specs (Adobe, Google, Epic Games, Microsoft) and verification dates.</w:t>
      </w:r>
    </w:p>
    <w:p>
      <w:pPr>
        <w:keepNext/>
        <w:spacing w:before="320" w:after="80"/>
      </w:pPr>
      <w:r>
        <w:rPr>
          <w:b/>
          <w:color w:val="126BD6"/>
          <w:sz w:val="28"/>
        </w:rPr>
        <w:t>7. Mobile-First UX, Touch Targets &amp; Quick Actions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Minimum 44px Touch Targets: </w:t>
      </w:r>
      <w:r>
        <w:rPr>
          <w:color w:val="536783"/>
        </w:rPr>
        <w:t>All interactive buttons, chips, and toggles enforce touch-target sizing with generous tap padding.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Sticky Mobile Action Dock: </w:t>
      </w:r>
      <w:r>
        <w:rPr>
          <w:color w:val="536783"/>
        </w:rPr>
        <w:t>Fixed floating action bar positioned in the thumb-reachable zone above bottom navigation on mobile viewports.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Phone Transfer (QR Code Modal): </w:t>
      </w:r>
      <w:r>
        <w:rPr>
          <w:color w:val="536783"/>
        </w:rPr>
        <w:t>Instant QR code generation allowing users to transfer their exact desktop hardware &amp; workload configuration to their smartphone.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Shareable Diagnostic Link: </w:t>
      </w:r>
      <w:r>
        <w:rPr>
          <w:color w:val="536783"/>
        </w:rPr>
        <w:t>Share modal generates permanent encoded URLs and markdown summaries for forums, Discord, and technical support.</w:t>
      </w:r>
    </w:p>
    <w:p>
      <w:pPr>
        <w:keepNext/>
        <w:spacing w:before="320" w:after="80"/>
      </w:pPr>
      <w:r>
        <w:rPr>
          <w:b/>
          <w:color w:val="126BD6"/>
          <w:sz w:val="28"/>
        </w:rPr>
        <w:t>8. Verification &amp; Test Invariants</w:t>
      </w:r>
    </w:p>
    <w:p>
      <w:pPr>
        <w:spacing w:after="80" w:line="276" w:lineRule="auto"/>
      </w:pPr>
      <w:r>
        <w:rPr>
          <w:color w:val="536783"/>
        </w:rPr>
        <w:t>The implementation adheres to strict mathematical correctness invariants validated across 30 test suites and 150 automated vitest scenarios: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Monotonicity Invariant: </w:t>
      </w:r>
      <w:r>
        <w:rPr>
          <w:color w:val="536783"/>
        </w:rPr>
        <w:t>Upgrading a hardware component (e.g. 16GB -&gt; 32GB RAM) is mathematically guaranteed to never decrease a performance score.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Concurrency Invariant: </w:t>
      </w:r>
      <w:r>
        <w:rPr>
          <w:color w:val="536783"/>
        </w:rPr>
        <w:t>Adding concurrent workloads strictly increases memory pressure ratio and thread contention penalties.</w:t>
      </w:r>
    </w:p>
    <w:p>
      <w:pPr>
        <w:pStyle w:val="ListBullet"/>
        <w:spacing w:after="60" w:line="276" w:lineRule="auto"/>
      </w:pPr>
      <w:r>
        <w:rPr>
          <w:b/>
          <w:color w:val="22324A"/>
        </w:rPr>
        <w:t xml:space="preserve">Unified vs Dedicated Invariant: </w:t>
      </w:r>
      <w:r>
        <w:rPr>
          <w:color w:val="536783"/>
        </w:rPr>
        <w:t>Apple Silicon unified memory correctly models shared RAM/VRAM pools, while discrete GPUs correctly isolate PCIe VRAM from motherboard RAM.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32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