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30" w:rsidRDefault="00667730">
      <w:r w:rsidRPr="00667730">
        <w:t>NAcc-</w:t>
      </w:r>
      <w:proofErr w:type="spellStart"/>
      <w:r w:rsidRPr="00667730">
        <w:t>Amygdala_MFA_Relates_To_Hypomania</w:t>
      </w:r>
      <w:proofErr w:type="spellEnd"/>
    </w:p>
    <w:p w:rsidR="00667730" w:rsidRPr="00667730" w:rsidRDefault="00667730">
      <w:r>
        <w:t xml:space="preserve">Subtitle (pop-up): </w:t>
      </w:r>
      <w:r w:rsidRPr="00667730">
        <w:rPr>
          <w:color w:val="666666"/>
          <w:sz w:val="22"/>
          <w:szCs w:val="22"/>
          <w:shd w:val="clear" w:color="auto" w:fill="FFFCF0"/>
        </w:rPr>
        <w:t>Probabilistic tractography be</w:t>
      </w:r>
      <w:r>
        <w:rPr>
          <w:color w:val="666666"/>
          <w:sz w:val="22"/>
          <w:szCs w:val="22"/>
          <w:shd w:val="clear" w:color="auto" w:fill="FFFCF0"/>
        </w:rPr>
        <w:t>tween the NAcc and amygdala, and r</w:t>
      </w:r>
      <w:r w:rsidRPr="00667730">
        <w:rPr>
          <w:color w:val="666666"/>
          <w:sz w:val="22"/>
          <w:szCs w:val="22"/>
          <w:shd w:val="clear" w:color="auto" w:fill="FFFCF0"/>
        </w:rPr>
        <w:t xml:space="preserve">elationship between </w:t>
      </w:r>
      <w:r>
        <w:rPr>
          <w:color w:val="666666"/>
          <w:sz w:val="22"/>
          <w:szCs w:val="22"/>
          <w:shd w:val="clear" w:color="auto" w:fill="FFFCF0"/>
        </w:rPr>
        <w:t xml:space="preserve">tract MFA and </w:t>
      </w:r>
      <w:r w:rsidRPr="00667730">
        <w:rPr>
          <w:color w:val="666666"/>
          <w:sz w:val="22"/>
          <w:szCs w:val="22"/>
          <w:shd w:val="clear" w:color="auto" w:fill="FFFCF0"/>
        </w:rPr>
        <w:t>HPS scores</w:t>
      </w:r>
      <w:r>
        <w:rPr>
          <w:color w:val="666666"/>
          <w:sz w:val="22"/>
          <w:szCs w:val="22"/>
          <w:shd w:val="clear" w:color="auto" w:fill="FFFCF0"/>
        </w:rPr>
        <w:t xml:space="preserve"> (Damme et al., 2017)</w:t>
      </w:r>
    </w:p>
    <w:p w:rsidR="00667730" w:rsidRDefault="00667730">
      <w:r>
        <w:t xml:space="preserve">Link out to: </w:t>
      </w:r>
      <w:r w:rsidRPr="00667730">
        <w:t>https://www.ncbi.nlm.nih.gov/pmc/articles/PMC5472153/</w:t>
      </w:r>
    </w:p>
    <w:p w:rsidR="00667730" w:rsidRDefault="00667730"/>
    <w:p w:rsidR="004915C9" w:rsidRDefault="00667730">
      <w:r w:rsidRPr="00667730">
        <w:t>NAcc-</w:t>
      </w:r>
      <w:proofErr w:type="spellStart"/>
      <w:r w:rsidRPr="00667730">
        <w:t>mOFC_MFA_Relates_To_Hypomania</w:t>
      </w:r>
      <w:proofErr w:type="spellEnd"/>
    </w:p>
    <w:p w:rsidR="00667730" w:rsidRPr="00667730" w:rsidRDefault="00667730" w:rsidP="00667730">
      <w:r>
        <w:t xml:space="preserve">Subtitle (pop-up): </w:t>
      </w:r>
      <w:r w:rsidRPr="00667730">
        <w:rPr>
          <w:color w:val="666666"/>
          <w:sz w:val="22"/>
          <w:szCs w:val="22"/>
          <w:shd w:val="clear" w:color="auto" w:fill="FFFCF0"/>
        </w:rPr>
        <w:t>Probabilistic tractography be</w:t>
      </w:r>
      <w:r>
        <w:rPr>
          <w:color w:val="666666"/>
          <w:sz w:val="22"/>
          <w:szCs w:val="22"/>
          <w:shd w:val="clear" w:color="auto" w:fill="FFFCF0"/>
        </w:rPr>
        <w:t>tween the NAcc and mOFC, and r</w:t>
      </w:r>
      <w:r w:rsidRPr="00667730">
        <w:rPr>
          <w:color w:val="666666"/>
          <w:sz w:val="22"/>
          <w:szCs w:val="22"/>
          <w:shd w:val="clear" w:color="auto" w:fill="FFFCF0"/>
        </w:rPr>
        <w:t xml:space="preserve">elationship between </w:t>
      </w:r>
      <w:r>
        <w:rPr>
          <w:color w:val="666666"/>
          <w:sz w:val="22"/>
          <w:szCs w:val="22"/>
          <w:shd w:val="clear" w:color="auto" w:fill="FFFCF0"/>
        </w:rPr>
        <w:t xml:space="preserve">tract MFA </w:t>
      </w:r>
      <w:r w:rsidRPr="00667730">
        <w:rPr>
          <w:color w:val="666666"/>
          <w:sz w:val="22"/>
          <w:szCs w:val="22"/>
          <w:shd w:val="clear" w:color="auto" w:fill="FFFCF0"/>
        </w:rPr>
        <w:t>HPS scores</w:t>
      </w:r>
      <w:r>
        <w:rPr>
          <w:color w:val="666666"/>
          <w:sz w:val="22"/>
          <w:szCs w:val="22"/>
          <w:shd w:val="clear" w:color="auto" w:fill="FFFCF0"/>
        </w:rPr>
        <w:t xml:space="preserve"> (Damme et al., 2017)</w:t>
      </w:r>
    </w:p>
    <w:p w:rsidR="00667730" w:rsidRDefault="00667730">
      <w:r>
        <w:t xml:space="preserve">Link out to: </w:t>
      </w:r>
      <w:hyperlink r:id="rId4" w:history="1">
        <w:r w:rsidRPr="00F54147">
          <w:rPr>
            <w:rStyle w:val="Hyperlink"/>
          </w:rPr>
          <w:t>https://www.ncbi.nlm.nih.gov/pmc/articles/PMC5472153/</w:t>
        </w:r>
      </w:hyperlink>
    </w:p>
    <w:p w:rsidR="00667730" w:rsidRDefault="00667730"/>
    <w:p w:rsidR="00667730" w:rsidRDefault="00667730">
      <w:proofErr w:type="spellStart"/>
      <w:r w:rsidRPr="00667730">
        <w:t>LocalGyrificationIndex_UltraHighRisk</w:t>
      </w:r>
      <w:proofErr w:type="spellEnd"/>
      <w:r w:rsidRPr="00667730">
        <w:t>&gt;</w:t>
      </w:r>
      <w:proofErr w:type="spellStart"/>
      <w:r w:rsidRPr="00667730">
        <w:t>TypicallyDeveloping</w:t>
      </w:r>
      <w:proofErr w:type="spellEnd"/>
    </w:p>
    <w:p w:rsidR="00667730" w:rsidRPr="00667730" w:rsidRDefault="00667730" w:rsidP="00667730"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 xml:space="preserve"> Differences in Local Gyrification Index in high-risk </w:t>
      </w:r>
      <w:r w:rsidR="001C6E73">
        <w:rPr>
          <w:rFonts w:ascii="Arial" w:hAnsi="Arial" w:cs="Arial"/>
          <w:color w:val="737373"/>
          <w:sz w:val="20"/>
          <w:szCs w:val="20"/>
        </w:rPr>
        <w:t>for psychosis</w:t>
      </w:r>
      <w:r>
        <w:rPr>
          <w:rFonts w:ascii="Arial" w:hAnsi="Arial" w:cs="Arial"/>
          <w:color w:val="737373"/>
          <w:sz w:val="20"/>
          <w:szCs w:val="20"/>
        </w:rPr>
        <w:t xml:space="preserve"> (group average shown in blue) and healthy control subjects (group average shown in gray) and overlaid to show differences</w:t>
      </w:r>
      <w:r>
        <w:rPr>
          <w:color w:val="666666"/>
          <w:sz w:val="22"/>
          <w:szCs w:val="22"/>
          <w:shd w:val="clear" w:color="auto" w:fill="FFFCF0"/>
        </w:rPr>
        <w:t xml:space="preserve"> (Damme et al., 2018)</w:t>
      </w:r>
    </w:p>
    <w:p w:rsidR="00667730" w:rsidRDefault="00667730" w:rsidP="00667730">
      <w:r>
        <w:t xml:space="preserve">Link out to: </w:t>
      </w:r>
      <w:hyperlink r:id="rId5" w:anchor="fig1" w:history="1">
        <w:r w:rsidR="001C6E73" w:rsidRPr="00F54147">
          <w:rPr>
            <w:rStyle w:val="Hyperlink"/>
          </w:rPr>
          <w:t>https://www.sciencedirect.com/science/article/pii/S245190221830017X#fig1</w:t>
        </w:r>
      </w:hyperlink>
    </w:p>
    <w:p w:rsidR="001C6E73" w:rsidRDefault="001C6E73" w:rsidP="00667730"/>
    <w:p w:rsidR="001C6E73" w:rsidRDefault="001C6E73" w:rsidP="001C6E73">
      <w:proofErr w:type="spellStart"/>
      <w:r>
        <w:t>MeanCurvature</w:t>
      </w:r>
      <w:r w:rsidRPr="00667730">
        <w:t>Index_UltraHighRisk</w:t>
      </w:r>
      <w:proofErr w:type="spellEnd"/>
      <w:r w:rsidRPr="00667730">
        <w:t>&gt;</w:t>
      </w:r>
      <w:proofErr w:type="spellStart"/>
      <w:r w:rsidRPr="00667730">
        <w:t>TypicallyDeveloping</w:t>
      </w:r>
      <w:proofErr w:type="spellEnd"/>
    </w:p>
    <w:p w:rsidR="001C6E73" w:rsidRPr="00667730" w:rsidRDefault="001C6E73" w:rsidP="001C6E73"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> Differences in Mean Curvature Index in high-risk for psychosis (blue) and healthy control subjects (gray) and overlaid to show differences</w:t>
      </w:r>
      <w:r>
        <w:rPr>
          <w:color w:val="666666"/>
          <w:sz w:val="22"/>
          <w:szCs w:val="22"/>
          <w:shd w:val="clear" w:color="auto" w:fill="FFFCF0"/>
        </w:rPr>
        <w:t xml:space="preserve"> (Damme et al., 2018)</w:t>
      </w:r>
    </w:p>
    <w:p w:rsidR="001C6E73" w:rsidRDefault="001C6E73" w:rsidP="001C6E73">
      <w:r>
        <w:t xml:space="preserve">Link out to: </w:t>
      </w:r>
      <w:r w:rsidRPr="001C6E73">
        <w:t>https://www.sciencedirect.com/science/article/pii/S245190221830017X</w:t>
      </w:r>
    </w:p>
    <w:p w:rsidR="001C6E73" w:rsidRDefault="001C6E73" w:rsidP="001C6E73"/>
    <w:p w:rsidR="001C6E73" w:rsidRDefault="001C6E73" w:rsidP="001C6E73">
      <w:proofErr w:type="spellStart"/>
      <w:r>
        <w:t>SulcalDepth</w:t>
      </w:r>
      <w:r w:rsidRPr="00667730">
        <w:t>_UltraHighRisk</w:t>
      </w:r>
      <w:proofErr w:type="spellEnd"/>
      <w:r w:rsidRPr="00667730">
        <w:t>&gt;</w:t>
      </w:r>
      <w:proofErr w:type="spellStart"/>
      <w:r w:rsidRPr="00667730">
        <w:t>TypicallyDeveloping</w:t>
      </w:r>
      <w:proofErr w:type="spellEnd"/>
    </w:p>
    <w:p w:rsidR="001C6E73" w:rsidRPr="00667730" w:rsidRDefault="001C6E73" w:rsidP="001C6E73"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> Differences in Sulcal Depth in clinical high-risk for psychosis (blue) and healthy control subjects (gray) and overlaid to show differences</w:t>
      </w:r>
      <w:r>
        <w:rPr>
          <w:color w:val="666666"/>
          <w:sz w:val="22"/>
          <w:szCs w:val="22"/>
          <w:shd w:val="clear" w:color="auto" w:fill="FFFCF0"/>
        </w:rPr>
        <w:t xml:space="preserve"> (Damme et al., 2018)</w:t>
      </w:r>
    </w:p>
    <w:p w:rsidR="001C6E73" w:rsidRDefault="001C6E73" w:rsidP="001C6E73">
      <w:r>
        <w:t xml:space="preserve">Link out to: </w:t>
      </w:r>
      <w:r w:rsidRPr="001C6E73">
        <w:t>https://www.sciencedirect.com/science/article/pii/S245190221830017X</w:t>
      </w:r>
    </w:p>
    <w:p w:rsidR="001C6E73" w:rsidRDefault="001C6E73" w:rsidP="001C6E73"/>
    <w:p w:rsidR="001C6E73" w:rsidRDefault="001C6E73" w:rsidP="001C6E73">
      <w:proofErr w:type="spellStart"/>
      <w:r w:rsidRPr="001C6E73">
        <w:t>AmygdalaVolumeBSDRisk</w:t>
      </w:r>
      <w:proofErr w:type="spellEnd"/>
    </w:p>
    <w:p w:rsidR="001C6E73" w:rsidRDefault="001C6E73" w:rsidP="001C6E73"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 xml:space="preserve">  Bilateral Amygdala </w:t>
      </w:r>
      <w:r w:rsidR="00AA2211">
        <w:rPr>
          <w:rFonts w:ascii="Arial" w:hAnsi="Arial" w:cs="Arial"/>
          <w:color w:val="737373"/>
          <w:sz w:val="20"/>
          <w:szCs w:val="20"/>
        </w:rPr>
        <w:t xml:space="preserve">volume </w:t>
      </w:r>
      <w:r>
        <w:rPr>
          <w:rFonts w:ascii="Arial" w:hAnsi="Arial" w:cs="Arial"/>
          <w:color w:val="737373"/>
          <w:sz w:val="20"/>
          <w:szCs w:val="20"/>
        </w:rPr>
        <w:t>in Low Risk for BSD, High Risk for BSD, and Bipolar Spectrum Disorder (BSD) groups</w:t>
      </w:r>
      <w:r>
        <w:rPr>
          <w:color w:val="666666"/>
          <w:sz w:val="22"/>
          <w:szCs w:val="22"/>
          <w:shd w:val="clear" w:color="auto" w:fill="FFFCF0"/>
        </w:rPr>
        <w:t xml:space="preserve"> (Damme et al., in prep)</w:t>
      </w:r>
    </w:p>
    <w:p w:rsidR="001C6E73" w:rsidRDefault="001C6E73" w:rsidP="001C6E73"/>
    <w:p w:rsidR="001C6E73" w:rsidRDefault="001C6E73" w:rsidP="001C6E73">
      <w:proofErr w:type="spellStart"/>
      <w:r>
        <w:t>DiffusionBasedSubSegmentation</w:t>
      </w:r>
      <w:proofErr w:type="spellEnd"/>
    </w:p>
    <w:p w:rsidR="001C6E73" w:rsidRDefault="001C6E73" w:rsidP="001C6E73">
      <w:pPr>
        <w:rPr>
          <w:color w:val="666666"/>
          <w:sz w:val="22"/>
          <w:szCs w:val="22"/>
          <w:shd w:val="clear" w:color="auto" w:fill="FFFCF0"/>
        </w:rPr>
      </w:pPr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> Diffusion-Based Subsegm</w:t>
      </w:r>
      <w:r w:rsidR="00AA2211">
        <w:rPr>
          <w:rFonts w:ascii="Arial" w:hAnsi="Arial" w:cs="Arial"/>
          <w:color w:val="737373"/>
          <w:sz w:val="20"/>
          <w:szCs w:val="20"/>
        </w:rPr>
        <w:t>ent</w:t>
      </w:r>
      <w:r>
        <w:rPr>
          <w:rFonts w:ascii="Arial" w:hAnsi="Arial" w:cs="Arial"/>
          <w:color w:val="737373"/>
          <w:sz w:val="20"/>
          <w:szCs w:val="20"/>
        </w:rPr>
        <w:t>ation of Amygdala (Basal/</w:t>
      </w:r>
      <w:r w:rsidR="00AA2211">
        <w:rPr>
          <w:rFonts w:ascii="Arial" w:hAnsi="Arial" w:cs="Arial"/>
          <w:color w:val="737373"/>
          <w:sz w:val="20"/>
          <w:szCs w:val="20"/>
        </w:rPr>
        <w:t>Lateral Nuclei</w:t>
      </w:r>
      <w:r>
        <w:rPr>
          <w:rFonts w:ascii="Arial" w:hAnsi="Arial" w:cs="Arial"/>
          <w:color w:val="737373"/>
          <w:sz w:val="20"/>
          <w:szCs w:val="20"/>
        </w:rPr>
        <w:t xml:space="preserve">) Infographic </w:t>
      </w:r>
      <w:r>
        <w:rPr>
          <w:color w:val="666666"/>
          <w:sz w:val="22"/>
          <w:szCs w:val="22"/>
          <w:shd w:val="clear" w:color="auto" w:fill="FFFCF0"/>
        </w:rPr>
        <w:t>(Damme et al., in prep)</w:t>
      </w:r>
    </w:p>
    <w:p w:rsidR="00AA2211" w:rsidRDefault="00AA2211" w:rsidP="001C6E73">
      <w:pPr>
        <w:rPr>
          <w:color w:val="666666"/>
          <w:sz w:val="22"/>
          <w:szCs w:val="22"/>
          <w:shd w:val="clear" w:color="auto" w:fill="FFFCF0"/>
        </w:rPr>
      </w:pPr>
    </w:p>
    <w:p w:rsidR="00AA2211" w:rsidRDefault="00AA2211" w:rsidP="001C6E73">
      <w:pPr>
        <w:rPr>
          <w:color w:val="666666"/>
          <w:sz w:val="22"/>
          <w:szCs w:val="22"/>
          <w:shd w:val="clear" w:color="auto" w:fill="FFFCF0"/>
        </w:rPr>
      </w:pPr>
      <w:r>
        <w:rPr>
          <w:color w:val="666666"/>
          <w:sz w:val="22"/>
          <w:szCs w:val="22"/>
          <w:shd w:val="clear" w:color="auto" w:fill="FFFCF0"/>
        </w:rPr>
        <w:t>AmygdalaSubnucleiVolumeBSDRisk</w:t>
      </w:r>
      <w:r w:rsidR="001965D0">
        <w:rPr>
          <w:color w:val="666666"/>
          <w:sz w:val="22"/>
          <w:szCs w:val="22"/>
          <w:shd w:val="clear" w:color="auto" w:fill="FFFCF0"/>
        </w:rPr>
        <w:t>1</w:t>
      </w:r>
    </w:p>
    <w:p w:rsidR="001C6E73" w:rsidRDefault="00AA2211" w:rsidP="001C6E73">
      <w:pPr>
        <w:rPr>
          <w:color w:val="666666"/>
          <w:sz w:val="22"/>
          <w:szCs w:val="22"/>
          <w:shd w:val="clear" w:color="auto" w:fill="FFFCF0"/>
        </w:rPr>
      </w:pPr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 xml:space="preserve"> Diffusion-Based </w:t>
      </w:r>
      <w:proofErr w:type="spellStart"/>
      <w:r>
        <w:rPr>
          <w:rFonts w:ascii="Arial" w:hAnsi="Arial" w:cs="Arial"/>
          <w:color w:val="737373"/>
          <w:sz w:val="20"/>
          <w:szCs w:val="20"/>
        </w:rPr>
        <w:t>Subsegmented</w:t>
      </w:r>
      <w:proofErr w:type="spellEnd"/>
      <w:r>
        <w:rPr>
          <w:rFonts w:ascii="Arial" w:hAnsi="Arial" w:cs="Arial"/>
          <w:color w:val="737373"/>
          <w:sz w:val="20"/>
          <w:szCs w:val="20"/>
        </w:rPr>
        <w:t xml:space="preserve"> Subnuclei Across the Bipolar Risk Spectrum (</w:t>
      </w:r>
      <w:r>
        <w:rPr>
          <w:color w:val="666666"/>
          <w:sz w:val="22"/>
          <w:szCs w:val="22"/>
          <w:shd w:val="clear" w:color="auto" w:fill="FFFCF0"/>
        </w:rPr>
        <w:t>BSD: bipolar spectrum disorder; Damme et al., in prep)</w:t>
      </w:r>
    </w:p>
    <w:p w:rsidR="001965D0" w:rsidRDefault="001965D0" w:rsidP="001965D0">
      <w:pPr>
        <w:rPr>
          <w:color w:val="666666"/>
          <w:sz w:val="22"/>
          <w:szCs w:val="22"/>
          <w:shd w:val="clear" w:color="auto" w:fill="FFFCF0"/>
        </w:rPr>
      </w:pPr>
    </w:p>
    <w:p w:rsidR="001965D0" w:rsidRDefault="001965D0" w:rsidP="001965D0">
      <w:pPr>
        <w:rPr>
          <w:color w:val="666666"/>
          <w:sz w:val="22"/>
          <w:szCs w:val="22"/>
          <w:shd w:val="clear" w:color="auto" w:fill="FFFCF0"/>
        </w:rPr>
      </w:pPr>
      <w:r>
        <w:rPr>
          <w:color w:val="666666"/>
          <w:sz w:val="22"/>
          <w:szCs w:val="22"/>
          <w:shd w:val="clear" w:color="auto" w:fill="FFFCF0"/>
        </w:rPr>
        <w:t>AmygdalaSubnucleiVolumeBSDRisk</w:t>
      </w:r>
      <w:r>
        <w:rPr>
          <w:color w:val="666666"/>
          <w:sz w:val="22"/>
          <w:szCs w:val="22"/>
          <w:shd w:val="clear" w:color="auto" w:fill="FFFCF0"/>
        </w:rPr>
        <w:t>2</w:t>
      </w:r>
    </w:p>
    <w:p w:rsidR="001965D0" w:rsidRDefault="001965D0" w:rsidP="001965D0">
      <w:pPr>
        <w:rPr>
          <w:color w:val="666666"/>
          <w:sz w:val="22"/>
          <w:szCs w:val="22"/>
          <w:shd w:val="clear" w:color="auto" w:fill="FFFCF0"/>
        </w:rPr>
      </w:pPr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 xml:space="preserve"> Diffusion-Based </w:t>
      </w:r>
      <w:proofErr w:type="spellStart"/>
      <w:r>
        <w:rPr>
          <w:rFonts w:ascii="Arial" w:hAnsi="Arial" w:cs="Arial"/>
          <w:color w:val="737373"/>
          <w:sz w:val="20"/>
          <w:szCs w:val="20"/>
        </w:rPr>
        <w:t>Subsegmented</w:t>
      </w:r>
      <w:proofErr w:type="spellEnd"/>
      <w:r>
        <w:rPr>
          <w:rFonts w:ascii="Arial" w:hAnsi="Arial" w:cs="Arial"/>
          <w:color w:val="737373"/>
          <w:sz w:val="20"/>
          <w:szCs w:val="20"/>
        </w:rPr>
        <w:t xml:space="preserve"> Subnuclei Across the Bipolar Risk Spectrum (</w:t>
      </w:r>
      <w:r>
        <w:rPr>
          <w:color w:val="666666"/>
          <w:sz w:val="22"/>
          <w:szCs w:val="22"/>
          <w:shd w:val="clear" w:color="auto" w:fill="FFFCF0"/>
        </w:rPr>
        <w:t>BSD: bipolar spectrum disorder; Damme et al., in prep)</w:t>
      </w:r>
    </w:p>
    <w:p w:rsidR="001965D0" w:rsidRDefault="001965D0" w:rsidP="001C6E73">
      <w:pPr>
        <w:rPr>
          <w:color w:val="666666"/>
          <w:sz w:val="22"/>
          <w:szCs w:val="22"/>
          <w:shd w:val="clear" w:color="auto" w:fill="FFFCF0"/>
        </w:rPr>
      </w:pPr>
    </w:p>
    <w:p w:rsidR="00AA2211" w:rsidRDefault="00AA2211" w:rsidP="001C6E73">
      <w:pPr>
        <w:rPr>
          <w:color w:val="666666"/>
          <w:sz w:val="22"/>
          <w:szCs w:val="22"/>
          <w:shd w:val="clear" w:color="auto" w:fill="FFFCF0"/>
        </w:rPr>
      </w:pPr>
    </w:p>
    <w:p w:rsidR="001C6E73" w:rsidRDefault="00AA2211" w:rsidP="001C6E73">
      <w:pPr>
        <w:rPr>
          <w:color w:val="666666"/>
          <w:sz w:val="22"/>
          <w:szCs w:val="22"/>
          <w:shd w:val="clear" w:color="auto" w:fill="FFFCF0"/>
        </w:rPr>
      </w:pPr>
      <w:proofErr w:type="spellStart"/>
      <w:r>
        <w:rPr>
          <w:color w:val="666666"/>
          <w:sz w:val="22"/>
          <w:szCs w:val="22"/>
          <w:shd w:val="clear" w:color="auto" w:fill="FFFCF0"/>
        </w:rPr>
        <w:t>mOFC_GMV_BSD</w:t>
      </w:r>
      <w:proofErr w:type="spellEnd"/>
    </w:p>
    <w:p w:rsidR="00AA2211" w:rsidRPr="00AA2211" w:rsidRDefault="00AA2211" w:rsidP="001C6E73">
      <w:pPr>
        <w:rPr>
          <w:color w:val="666666"/>
          <w:sz w:val="22"/>
          <w:szCs w:val="22"/>
          <w:shd w:val="clear" w:color="auto" w:fill="FFFCF0"/>
        </w:rPr>
      </w:pPr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> Bilateral medial Orbitofrontal Volume in Low Risk for BSD, High Risk for BSD, and Bipolar Spectrum Disorder (BSD) groups</w:t>
      </w:r>
      <w:r>
        <w:rPr>
          <w:color w:val="666666"/>
          <w:sz w:val="22"/>
          <w:szCs w:val="22"/>
          <w:shd w:val="clear" w:color="auto" w:fill="FFFCF0"/>
        </w:rPr>
        <w:t xml:space="preserve"> (Damme et al., in prep)</w:t>
      </w:r>
    </w:p>
    <w:p w:rsidR="001C6E73" w:rsidRDefault="001C6E73" w:rsidP="001C6E73"/>
    <w:p w:rsidR="00AA2211" w:rsidRDefault="00AA2211" w:rsidP="00AA2211">
      <w:bookmarkStart w:id="0" w:name="_GoBack"/>
      <w:r>
        <w:t>Caudate_GMV_BSD</w:t>
      </w:r>
      <w:r w:rsidR="001965D0">
        <w:t>1</w:t>
      </w:r>
    </w:p>
    <w:bookmarkEnd w:id="0"/>
    <w:p w:rsidR="00AA2211" w:rsidRDefault="00AA2211" w:rsidP="00AA2211">
      <w:pPr>
        <w:rPr>
          <w:color w:val="666666"/>
          <w:sz w:val="22"/>
          <w:szCs w:val="22"/>
          <w:shd w:val="clear" w:color="auto" w:fill="FFFCF0"/>
        </w:rPr>
      </w:pPr>
      <w:r>
        <w:lastRenderedPageBreak/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> Bilateral medial Caudate in Low Risk for BSD, High Risk for BSD, and Bipolar Spectrum Disorder (BSD) groups</w:t>
      </w:r>
      <w:r>
        <w:rPr>
          <w:color w:val="666666"/>
          <w:sz w:val="22"/>
          <w:szCs w:val="22"/>
          <w:shd w:val="clear" w:color="auto" w:fill="FFFCF0"/>
        </w:rPr>
        <w:t xml:space="preserve"> (Damme et al., in prep)</w:t>
      </w:r>
    </w:p>
    <w:p w:rsidR="00AA2211" w:rsidRDefault="00AA2211" w:rsidP="00AA2211">
      <w:pPr>
        <w:rPr>
          <w:color w:val="666666"/>
          <w:sz w:val="22"/>
          <w:szCs w:val="22"/>
          <w:shd w:val="clear" w:color="auto" w:fill="FFFCF0"/>
        </w:rPr>
      </w:pPr>
    </w:p>
    <w:p w:rsidR="00AA2211" w:rsidRPr="00AA2211" w:rsidRDefault="00AA2211" w:rsidP="00AA2211">
      <w:pPr>
        <w:rPr>
          <w:color w:val="666666"/>
          <w:sz w:val="22"/>
          <w:szCs w:val="22"/>
          <w:shd w:val="clear" w:color="auto" w:fill="FFFCF0"/>
        </w:rPr>
      </w:pPr>
    </w:p>
    <w:p w:rsidR="00AA2211" w:rsidRDefault="00AA2211" w:rsidP="00AA2211">
      <w:r>
        <w:t>Caudate_GMV_BSD</w:t>
      </w:r>
      <w:r w:rsidR="001965D0">
        <w:t>2</w:t>
      </w:r>
    </w:p>
    <w:p w:rsidR="00AA2211" w:rsidRDefault="00AA2211" w:rsidP="00AA2211">
      <w:pPr>
        <w:rPr>
          <w:color w:val="666666"/>
          <w:sz w:val="22"/>
          <w:szCs w:val="22"/>
          <w:shd w:val="clear" w:color="auto" w:fill="FFFCF0"/>
        </w:rPr>
      </w:pPr>
      <w:r>
        <w:t xml:space="preserve">Subtitle (pop-up): </w:t>
      </w:r>
      <w:r>
        <w:rPr>
          <w:rFonts w:ascii="Arial" w:hAnsi="Arial" w:cs="Arial"/>
          <w:color w:val="737373"/>
          <w:sz w:val="20"/>
          <w:szCs w:val="20"/>
        </w:rPr>
        <w:t xml:space="preserve"> Bilateral medial Caudate in men at Low Risk (yellow) </w:t>
      </w:r>
      <w:r w:rsidR="00834DA9">
        <w:rPr>
          <w:rFonts w:ascii="Arial" w:hAnsi="Arial" w:cs="Arial"/>
          <w:color w:val="737373"/>
          <w:sz w:val="20"/>
          <w:szCs w:val="20"/>
        </w:rPr>
        <w:t>and</w:t>
      </w:r>
      <w:r>
        <w:rPr>
          <w:rFonts w:ascii="Arial" w:hAnsi="Arial" w:cs="Arial"/>
          <w:color w:val="737373"/>
          <w:sz w:val="20"/>
          <w:szCs w:val="20"/>
        </w:rPr>
        <w:t xml:space="preserve"> men with a Bipolar Spectrum Disorder (blue; </w:t>
      </w:r>
      <w:r>
        <w:rPr>
          <w:color w:val="666666"/>
          <w:sz w:val="22"/>
          <w:szCs w:val="22"/>
          <w:shd w:val="clear" w:color="auto" w:fill="FFFCF0"/>
        </w:rPr>
        <w:t>Damme et al., in prep)</w:t>
      </w:r>
    </w:p>
    <w:p w:rsidR="00AA2211" w:rsidRDefault="00AA2211" w:rsidP="001C6E73"/>
    <w:sectPr w:rsidR="00AA2211" w:rsidSect="0011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30"/>
    <w:rsid w:val="000020E8"/>
    <w:rsid w:val="00004008"/>
    <w:rsid w:val="0002051F"/>
    <w:rsid w:val="00044BFC"/>
    <w:rsid w:val="000477FC"/>
    <w:rsid w:val="000860D9"/>
    <w:rsid w:val="000B5EBB"/>
    <w:rsid w:val="000D6901"/>
    <w:rsid w:val="00110594"/>
    <w:rsid w:val="001117D9"/>
    <w:rsid w:val="00117C27"/>
    <w:rsid w:val="00126C3D"/>
    <w:rsid w:val="00127843"/>
    <w:rsid w:val="00164F3C"/>
    <w:rsid w:val="0018662D"/>
    <w:rsid w:val="00195522"/>
    <w:rsid w:val="001965D0"/>
    <w:rsid w:val="00197F49"/>
    <w:rsid w:val="001A5E5D"/>
    <w:rsid w:val="001B0BFB"/>
    <w:rsid w:val="001C69A1"/>
    <w:rsid w:val="001C6E73"/>
    <w:rsid w:val="001C7AC9"/>
    <w:rsid w:val="001E3F56"/>
    <w:rsid w:val="001F184E"/>
    <w:rsid w:val="00201F8E"/>
    <w:rsid w:val="00242DDF"/>
    <w:rsid w:val="002A1B23"/>
    <w:rsid w:val="002B073A"/>
    <w:rsid w:val="002C5F77"/>
    <w:rsid w:val="00315774"/>
    <w:rsid w:val="00327087"/>
    <w:rsid w:val="00382744"/>
    <w:rsid w:val="003A1A1D"/>
    <w:rsid w:val="003A3710"/>
    <w:rsid w:val="003A485A"/>
    <w:rsid w:val="003B48DC"/>
    <w:rsid w:val="003D1474"/>
    <w:rsid w:val="003F3807"/>
    <w:rsid w:val="004168F4"/>
    <w:rsid w:val="0047663E"/>
    <w:rsid w:val="00476EC4"/>
    <w:rsid w:val="00481474"/>
    <w:rsid w:val="00483B2D"/>
    <w:rsid w:val="004915C9"/>
    <w:rsid w:val="004B44D9"/>
    <w:rsid w:val="004B72B1"/>
    <w:rsid w:val="0050333C"/>
    <w:rsid w:val="00514021"/>
    <w:rsid w:val="005422DE"/>
    <w:rsid w:val="0058290E"/>
    <w:rsid w:val="005D6626"/>
    <w:rsid w:val="005D7DD9"/>
    <w:rsid w:val="005F1471"/>
    <w:rsid w:val="005F4CA7"/>
    <w:rsid w:val="0061792C"/>
    <w:rsid w:val="0063465C"/>
    <w:rsid w:val="00643E67"/>
    <w:rsid w:val="006473D5"/>
    <w:rsid w:val="006641DE"/>
    <w:rsid w:val="00667730"/>
    <w:rsid w:val="00667C90"/>
    <w:rsid w:val="00690846"/>
    <w:rsid w:val="00695F39"/>
    <w:rsid w:val="006C5BBD"/>
    <w:rsid w:val="006F4F3B"/>
    <w:rsid w:val="00704EB2"/>
    <w:rsid w:val="00733EC4"/>
    <w:rsid w:val="007665CB"/>
    <w:rsid w:val="007A1E0E"/>
    <w:rsid w:val="007E487B"/>
    <w:rsid w:val="007F041E"/>
    <w:rsid w:val="007F47E7"/>
    <w:rsid w:val="007F74E1"/>
    <w:rsid w:val="008249FB"/>
    <w:rsid w:val="00824EC0"/>
    <w:rsid w:val="008310C9"/>
    <w:rsid w:val="00834DA9"/>
    <w:rsid w:val="00843138"/>
    <w:rsid w:val="008458AC"/>
    <w:rsid w:val="00861B40"/>
    <w:rsid w:val="00867081"/>
    <w:rsid w:val="00876F89"/>
    <w:rsid w:val="008A2694"/>
    <w:rsid w:val="008A51CC"/>
    <w:rsid w:val="008D57D0"/>
    <w:rsid w:val="008D58E8"/>
    <w:rsid w:val="008E0009"/>
    <w:rsid w:val="008F3598"/>
    <w:rsid w:val="00925B79"/>
    <w:rsid w:val="00934982"/>
    <w:rsid w:val="009664E1"/>
    <w:rsid w:val="00986E3F"/>
    <w:rsid w:val="009C389C"/>
    <w:rsid w:val="009E621A"/>
    <w:rsid w:val="00A128DF"/>
    <w:rsid w:val="00A231BC"/>
    <w:rsid w:val="00A24689"/>
    <w:rsid w:val="00A40103"/>
    <w:rsid w:val="00A4035F"/>
    <w:rsid w:val="00A66067"/>
    <w:rsid w:val="00A77E10"/>
    <w:rsid w:val="00AA1937"/>
    <w:rsid w:val="00AA2211"/>
    <w:rsid w:val="00AB2B16"/>
    <w:rsid w:val="00AC329D"/>
    <w:rsid w:val="00AD67DE"/>
    <w:rsid w:val="00B210FB"/>
    <w:rsid w:val="00B30A69"/>
    <w:rsid w:val="00B3547D"/>
    <w:rsid w:val="00B6589F"/>
    <w:rsid w:val="00B71C5E"/>
    <w:rsid w:val="00B977CE"/>
    <w:rsid w:val="00BC4E49"/>
    <w:rsid w:val="00BD3593"/>
    <w:rsid w:val="00BD6D46"/>
    <w:rsid w:val="00C02D0C"/>
    <w:rsid w:val="00C03B4B"/>
    <w:rsid w:val="00C40456"/>
    <w:rsid w:val="00C4250F"/>
    <w:rsid w:val="00C44C50"/>
    <w:rsid w:val="00C51DC1"/>
    <w:rsid w:val="00C62618"/>
    <w:rsid w:val="00C65B28"/>
    <w:rsid w:val="00C758CA"/>
    <w:rsid w:val="00CB6639"/>
    <w:rsid w:val="00CD3E67"/>
    <w:rsid w:val="00CD738C"/>
    <w:rsid w:val="00CF25C1"/>
    <w:rsid w:val="00D23F4B"/>
    <w:rsid w:val="00D54803"/>
    <w:rsid w:val="00D73B88"/>
    <w:rsid w:val="00DA206D"/>
    <w:rsid w:val="00DB64AB"/>
    <w:rsid w:val="00DD6BB8"/>
    <w:rsid w:val="00DF6E58"/>
    <w:rsid w:val="00E01D77"/>
    <w:rsid w:val="00E17F90"/>
    <w:rsid w:val="00E2039A"/>
    <w:rsid w:val="00E23849"/>
    <w:rsid w:val="00E551C4"/>
    <w:rsid w:val="00E57063"/>
    <w:rsid w:val="00E71668"/>
    <w:rsid w:val="00EC4E3C"/>
    <w:rsid w:val="00ED3FC7"/>
    <w:rsid w:val="00F01BA9"/>
    <w:rsid w:val="00F05109"/>
    <w:rsid w:val="00F11E14"/>
    <w:rsid w:val="00F2255B"/>
    <w:rsid w:val="00F3701D"/>
    <w:rsid w:val="00F634D5"/>
    <w:rsid w:val="00F84E73"/>
    <w:rsid w:val="00FA5D53"/>
    <w:rsid w:val="00FB706E"/>
    <w:rsid w:val="00FC5108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9DFD8"/>
  <w15:chartTrackingRefBased/>
  <w15:docId w15:val="{221B35B0-F1B9-6545-97C4-C834B3A7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7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7730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67730"/>
    <w:rPr>
      <w:b/>
      <w:bCs/>
    </w:rPr>
  </w:style>
  <w:style w:type="character" w:styleId="Emphasis">
    <w:name w:val="Emphasis"/>
    <w:basedOn w:val="DefaultParagraphFont"/>
    <w:uiPriority w:val="20"/>
    <w:qFormat/>
    <w:rsid w:val="006677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245190221830017X" TargetMode="External"/><Relationship Id="rId4" Type="http://schemas.openxmlformats.org/officeDocument/2006/relationships/hyperlink" Target="https://www.ncbi.nlm.nih.gov/pmc/articles/PMC54721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2018-03-26T20:06:00Z</dcterms:created>
  <dcterms:modified xsi:type="dcterms:W3CDTF">2018-03-26T22:22:00Z</dcterms:modified>
</cp:coreProperties>
</file>