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734"/>
      </w:tblGrid>
      <w:tr w:rsidR="00A573A3" w:rsidRPr="001B20D1" w:rsidTr="00413920">
        <w:tc>
          <w:tcPr>
            <w:tcW w:w="2660" w:type="dxa"/>
            <w:shd w:val="clear" w:color="auto" w:fill="A8D08D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GENIE-P-22</w:t>
            </w:r>
          </w:p>
        </w:tc>
        <w:tc>
          <w:tcPr>
            <w:tcW w:w="1734" w:type="dxa"/>
            <w:shd w:val="clear" w:color="auto" w:fill="33CCCC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1B20D1">
            <w:pPr>
              <w:spacing w:after="0" w:line="240" w:lineRule="auto"/>
            </w:pPr>
            <w:r>
              <w:t>19 years</w:t>
            </w:r>
          </w:p>
        </w:tc>
        <w:tc>
          <w:tcPr>
            <w:tcW w:w="1734" w:type="dxa"/>
            <w:shd w:val="clear" w:color="auto" w:fill="F9FADE"/>
          </w:tcPr>
          <w:p w:rsidR="00A573A3" w:rsidRPr="001B20D1" w:rsidRDefault="00A573A3" w:rsidP="001B20D1">
            <w:pPr>
              <w:spacing w:after="0" w:line="240" w:lineRule="auto"/>
            </w:pPr>
          </w:p>
        </w:tc>
      </w:tr>
      <w:tr w:rsidR="009A2B2A" w:rsidRPr="001B20D1" w:rsidTr="005D05FD">
        <w:tc>
          <w:tcPr>
            <w:tcW w:w="2660" w:type="dxa"/>
            <w:vMerge w:val="restart"/>
            <w:shd w:val="clear" w:color="auto" w:fill="D9D9D9"/>
          </w:tcPr>
          <w:p w:rsidR="009A2B2A" w:rsidRPr="001B20D1" w:rsidRDefault="009A2B2A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C00000"/>
          </w:tcPr>
          <w:p w:rsidR="009A2B2A" w:rsidRPr="003827F8" w:rsidRDefault="009A2B2A" w:rsidP="00847010">
            <w:pPr>
              <w:spacing w:after="0" w:line="240" w:lineRule="auto"/>
            </w:pPr>
            <w:r>
              <w:t>(Early infantile-onset) epileptic encephalopathy</w:t>
            </w:r>
          </w:p>
        </w:tc>
        <w:tc>
          <w:tcPr>
            <w:tcW w:w="1734" w:type="dxa"/>
            <w:shd w:val="clear" w:color="auto" w:fill="F4F4F2"/>
          </w:tcPr>
          <w:p w:rsidR="009A2B2A" w:rsidRPr="00E81AC1" w:rsidRDefault="009A2B2A" w:rsidP="00E81AC1">
            <w:pPr>
              <w:shd w:val="clear" w:color="auto" w:fill="F3F3F3"/>
              <w:spacing w:after="0" w:line="240" w:lineRule="auto"/>
            </w:pPr>
          </w:p>
        </w:tc>
      </w:tr>
      <w:tr w:rsidR="009A2B2A" w:rsidRPr="001B20D1" w:rsidTr="00027E6E">
        <w:tc>
          <w:tcPr>
            <w:tcW w:w="2660" w:type="dxa"/>
            <w:vMerge/>
            <w:shd w:val="clear" w:color="auto" w:fill="D9D9D9"/>
          </w:tcPr>
          <w:p w:rsidR="009A2B2A" w:rsidRPr="001B20D1" w:rsidRDefault="009A2B2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9397E"/>
          </w:tcPr>
          <w:p w:rsidR="009A2B2A" w:rsidRDefault="009A2B2A" w:rsidP="003827F8">
            <w:pPr>
              <w:spacing w:after="0" w:line="240" w:lineRule="auto"/>
            </w:pPr>
            <w:r>
              <w:t>Autism</w:t>
            </w:r>
          </w:p>
        </w:tc>
        <w:tc>
          <w:tcPr>
            <w:tcW w:w="1734" w:type="dxa"/>
            <w:shd w:val="clear" w:color="auto" w:fill="F4F4F2"/>
          </w:tcPr>
          <w:p w:rsidR="009A2B2A" w:rsidRDefault="009A2B2A" w:rsidP="003827F8">
            <w:pPr>
              <w:shd w:val="clear" w:color="auto" w:fill="F3F3F3"/>
              <w:spacing w:after="0" w:line="240" w:lineRule="auto"/>
            </w:pPr>
            <w:r w:rsidRPr="00CC7A92">
              <w:t>HP:0000717</w:t>
            </w:r>
          </w:p>
        </w:tc>
      </w:tr>
      <w:tr w:rsidR="009A2B2A" w:rsidRPr="001B20D1" w:rsidTr="00847010">
        <w:tc>
          <w:tcPr>
            <w:tcW w:w="2660" w:type="dxa"/>
            <w:vMerge/>
            <w:shd w:val="clear" w:color="auto" w:fill="D9D9D9"/>
          </w:tcPr>
          <w:p w:rsidR="009A2B2A" w:rsidRPr="001B20D1" w:rsidRDefault="009A2B2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9A2B2A" w:rsidRDefault="009A2B2A" w:rsidP="003827F8">
            <w:pPr>
              <w:spacing w:after="0" w:line="240" w:lineRule="auto"/>
            </w:pPr>
            <w:r>
              <w:t>Drug-resistant seizures</w:t>
            </w:r>
          </w:p>
        </w:tc>
        <w:tc>
          <w:tcPr>
            <w:tcW w:w="1734" w:type="dxa"/>
            <w:shd w:val="clear" w:color="auto" w:fill="F4F4F2"/>
          </w:tcPr>
          <w:p w:rsidR="009A2B2A" w:rsidRDefault="009A2B2A" w:rsidP="003827F8">
            <w:pPr>
              <w:shd w:val="clear" w:color="auto" w:fill="F3F3F3"/>
              <w:spacing w:after="0" w:line="240" w:lineRule="auto"/>
            </w:pPr>
          </w:p>
        </w:tc>
      </w:tr>
      <w:tr w:rsidR="009A2B2A" w:rsidRPr="001B20D1" w:rsidTr="00847010">
        <w:tc>
          <w:tcPr>
            <w:tcW w:w="2660" w:type="dxa"/>
            <w:vMerge/>
            <w:shd w:val="clear" w:color="auto" w:fill="D9D9D9"/>
          </w:tcPr>
          <w:p w:rsidR="009A2B2A" w:rsidRPr="001B20D1" w:rsidRDefault="009A2B2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002060"/>
          </w:tcPr>
          <w:p w:rsidR="009A2B2A" w:rsidRDefault="009A2B2A" w:rsidP="003827F8">
            <w:pPr>
              <w:spacing w:after="0" w:line="240" w:lineRule="auto"/>
            </w:pPr>
            <w:r>
              <w:t>Focal epilepsy with language disorder</w:t>
            </w:r>
          </w:p>
        </w:tc>
        <w:tc>
          <w:tcPr>
            <w:tcW w:w="1734" w:type="dxa"/>
            <w:shd w:val="clear" w:color="auto" w:fill="F4F4F2"/>
          </w:tcPr>
          <w:p w:rsidR="009A2B2A" w:rsidRDefault="009A2B2A" w:rsidP="003827F8">
            <w:pPr>
              <w:shd w:val="clear" w:color="auto" w:fill="F3F3F3"/>
              <w:spacing w:after="0" w:line="240" w:lineRule="auto"/>
            </w:pPr>
          </w:p>
        </w:tc>
      </w:tr>
      <w:tr w:rsidR="009A2B2A" w:rsidRPr="001B20D1" w:rsidTr="00847010">
        <w:tc>
          <w:tcPr>
            <w:tcW w:w="2660" w:type="dxa"/>
            <w:vMerge/>
            <w:shd w:val="clear" w:color="auto" w:fill="D9D9D9"/>
          </w:tcPr>
          <w:p w:rsidR="009A2B2A" w:rsidRPr="001B20D1" w:rsidRDefault="009A2B2A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08DA2B"/>
          </w:tcPr>
          <w:p w:rsidR="009A2B2A" w:rsidRDefault="009A2B2A" w:rsidP="003827F8">
            <w:pPr>
              <w:spacing w:after="0" w:line="240" w:lineRule="auto"/>
            </w:pPr>
            <w:r>
              <w:t>Movement disorder (stooped gait)</w:t>
            </w:r>
          </w:p>
        </w:tc>
        <w:tc>
          <w:tcPr>
            <w:tcW w:w="1734" w:type="dxa"/>
            <w:shd w:val="clear" w:color="auto" w:fill="F4F4F2"/>
          </w:tcPr>
          <w:p w:rsidR="009A2B2A" w:rsidRDefault="009A2B2A" w:rsidP="003827F8">
            <w:pPr>
              <w:shd w:val="clear" w:color="auto" w:fill="F3F3F3"/>
              <w:spacing w:after="0" w:line="240" w:lineRule="auto"/>
            </w:pPr>
            <w:r w:rsidRPr="00CC7A92">
              <w:t>HP:0001288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A573A3" w:rsidRPr="00226DB0" w:rsidRDefault="00A573A3" w:rsidP="003827F8">
            <w:pPr>
              <w:spacing w:after="0" w:line="240" w:lineRule="auto"/>
            </w:pPr>
            <w:r w:rsidRPr="00226DB0">
              <w:t>Unclassified focal epilepsy with startle-triggered seizures</w:t>
            </w:r>
          </w:p>
        </w:tc>
        <w:tc>
          <w:tcPr>
            <w:tcW w:w="1734" w:type="dxa"/>
            <w:shd w:val="clear" w:color="auto" w:fill="F9FADE"/>
          </w:tcPr>
          <w:p w:rsidR="00A573A3" w:rsidRPr="00847FBF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A573A3" w:rsidRPr="001B20D1" w:rsidRDefault="00A573A3" w:rsidP="003827F8">
            <w:pPr>
              <w:spacing w:after="0" w:line="240" w:lineRule="auto"/>
            </w:pPr>
            <w:r>
              <w:t>2 months</w:t>
            </w:r>
            <w:bookmarkStart w:id="0" w:name="_GoBack"/>
            <w:bookmarkEnd w:id="0"/>
          </w:p>
        </w:tc>
        <w:tc>
          <w:tcPr>
            <w:tcW w:w="1734" w:type="dxa"/>
            <w:shd w:val="clear" w:color="auto" w:fill="F4F4F2"/>
          </w:tcPr>
          <w:p w:rsidR="00A573A3" w:rsidRPr="00847FBF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>Focal seizures</w:t>
            </w:r>
          </w:p>
        </w:tc>
        <w:tc>
          <w:tcPr>
            <w:tcW w:w="1734" w:type="dxa"/>
            <w:shd w:val="clear" w:color="auto" w:fill="F9FADE"/>
          </w:tcPr>
          <w:p w:rsidR="00A573A3" w:rsidRPr="005346C0" w:rsidRDefault="00A573A3" w:rsidP="003827F8">
            <w:pPr>
              <w:spacing w:after="0" w:line="240" w:lineRule="auto"/>
            </w:pPr>
            <w:r w:rsidRPr="00EA0D4D">
              <w:t>HP:0007359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A573A3" w:rsidRPr="001B20D1" w:rsidRDefault="00A573A3" w:rsidP="003827F8">
            <w:pPr>
              <w:spacing w:after="0" w:line="240" w:lineRule="auto"/>
            </w:pPr>
            <w:r>
              <w:t>Focal seizures with impairment of awareness</w:t>
            </w:r>
          </w:p>
        </w:tc>
        <w:tc>
          <w:tcPr>
            <w:tcW w:w="1734" w:type="dxa"/>
            <w:shd w:val="clear" w:color="auto" w:fill="F4F4F2"/>
          </w:tcPr>
          <w:p w:rsidR="00A573A3" w:rsidRPr="00E81AC1" w:rsidRDefault="00A573A3" w:rsidP="003827F8">
            <w:pPr>
              <w:spacing w:after="0" w:line="240" w:lineRule="auto"/>
            </w:pPr>
            <w:r w:rsidRPr="00F209FE">
              <w:t>HP:0002384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Developmental concerns prior to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9FADE"/>
          </w:tcPr>
          <w:p w:rsidR="00A573A3" w:rsidRPr="003827F8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Pr="001B20D1" w:rsidRDefault="00A573A3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Regression associated with epilepsy onset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4F4F2"/>
          </w:tcPr>
          <w:p w:rsidR="00A573A3" w:rsidRPr="001B20D1" w:rsidRDefault="00A573A3" w:rsidP="003827F8">
            <w:pPr>
              <w:spacing w:after="0" w:line="240" w:lineRule="auto"/>
            </w:pPr>
            <w:r>
              <w:t>Yes</w:t>
            </w:r>
          </w:p>
        </w:tc>
        <w:tc>
          <w:tcPr>
            <w:tcW w:w="1734" w:type="dxa"/>
            <w:shd w:val="clear" w:color="auto" w:fill="F4F4F2"/>
          </w:tcPr>
          <w:p w:rsidR="00A573A3" w:rsidRPr="00190626" w:rsidRDefault="00A573A3" w:rsidP="003827F8">
            <w:pPr>
              <w:spacing w:after="0" w:line="240" w:lineRule="auto"/>
            </w:pPr>
          </w:p>
        </w:tc>
      </w:tr>
      <w:tr w:rsidR="00A573A3" w:rsidRPr="001B20D1" w:rsidTr="00CC7A92">
        <w:trPr>
          <w:trHeight w:val="601"/>
        </w:trPr>
        <w:tc>
          <w:tcPr>
            <w:tcW w:w="2660" w:type="dxa"/>
            <w:shd w:val="clear" w:color="auto" w:fill="EAF1DD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>Walked at 22 months. Mobile but with stooped gait.</w:t>
            </w:r>
          </w:p>
        </w:tc>
        <w:tc>
          <w:tcPr>
            <w:tcW w:w="1734" w:type="dxa"/>
            <w:shd w:val="clear" w:color="auto" w:fill="F9FADE"/>
          </w:tcPr>
          <w:p w:rsidR="00A573A3" w:rsidRPr="00CC7A92" w:rsidRDefault="00A573A3" w:rsidP="003827F8">
            <w:pPr>
              <w:spacing w:after="0" w:line="240" w:lineRule="auto"/>
            </w:pPr>
            <w:r w:rsidRPr="00CC7A92">
              <w:t>HP:0002194</w:t>
            </w:r>
          </w:p>
          <w:p w:rsidR="00A573A3" w:rsidRPr="00CC7A92" w:rsidRDefault="00A573A3" w:rsidP="003827F8">
            <w:pPr>
              <w:spacing w:after="0" w:line="240" w:lineRule="auto"/>
            </w:pPr>
            <w:r w:rsidRPr="00CC7A92">
              <w:t>HP:0001288</w:t>
            </w:r>
          </w:p>
        </w:tc>
      </w:tr>
      <w:tr w:rsidR="00A573A3" w:rsidRPr="001B20D1" w:rsidTr="00E81AC1">
        <w:trPr>
          <w:trHeight w:val="73"/>
        </w:trPr>
        <w:tc>
          <w:tcPr>
            <w:tcW w:w="2660" w:type="dxa"/>
            <w:shd w:val="clear" w:color="auto" w:fill="D9D9D9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A573A3" w:rsidRPr="001B20D1" w:rsidRDefault="00A573A3" w:rsidP="003827F8">
            <w:pPr>
              <w:spacing w:after="0" w:line="240" w:lineRule="auto"/>
            </w:pPr>
            <w:r>
              <w:t xml:space="preserve">Has difficulties but can write own name and use an </w:t>
            </w:r>
            <w:proofErr w:type="spellStart"/>
            <w:r>
              <w:t>ipad</w:t>
            </w:r>
            <w:proofErr w:type="spellEnd"/>
          </w:p>
        </w:tc>
        <w:tc>
          <w:tcPr>
            <w:tcW w:w="1734" w:type="dxa"/>
            <w:shd w:val="clear" w:color="auto" w:fill="F4F4F2"/>
          </w:tcPr>
          <w:p w:rsidR="00A573A3" w:rsidRPr="00CC7A92" w:rsidRDefault="00A573A3" w:rsidP="003827F8">
            <w:pPr>
              <w:spacing w:after="0" w:line="240" w:lineRule="auto"/>
            </w:pPr>
            <w:r w:rsidRPr="00CC7A92">
              <w:t>HP:0010862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</w:p>
        </w:tc>
        <w:tc>
          <w:tcPr>
            <w:tcW w:w="1734" w:type="dxa"/>
            <w:shd w:val="clear" w:color="auto" w:fill="F9FADE"/>
          </w:tcPr>
          <w:p w:rsidR="00A573A3" w:rsidRPr="00190626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A573A3" w:rsidRPr="001B20D1" w:rsidRDefault="00A573A3" w:rsidP="003827F8">
            <w:pPr>
              <w:spacing w:after="0" w:line="240" w:lineRule="auto"/>
            </w:pPr>
            <w:r>
              <w:t>Stammer. Good vocab but little use of sentences. Good understanding</w:t>
            </w:r>
          </w:p>
        </w:tc>
        <w:tc>
          <w:tcPr>
            <w:tcW w:w="1734" w:type="dxa"/>
            <w:shd w:val="clear" w:color="auto" w:fill="F4F4F2"/>
          </w:tcPr>
          <w:p w:rsidR="00A573A3" w:rsidRDefault="00A573A3" w:rsidP="003827F8">
            <w:pPr>
              <w:spacing w:after="0" w:line="240" w:lineRule="auto"/>
            </w:pPr>
            <w:r>
              <w:t>HP:0009088</w:t>
            </w:r>
          </w:p>
          <w:p w:rsidR="00A573A3" w:rsidRPr="00CC7A92" w:rsidRDefault="00A573A3" w:rsidP="003827F8">
            <w:pPr>
              <w:spacing w:after="0" w:line="240" w:lineRule="auto"/>
            </w:pPr>
            <w:r w:rsidRPr="00CC7A92">
              <w:t>HP:0000750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</w:p>
        </w:tc>
        <w:tc>
          <w:tcPr>
            <w:tcW w:w="1734" w:type="dxa"/>
            <w:shd w:val="clear" w:color="auto" w:fill="F9FADE"/>
          </w:tcPr>
          <w:p w:rsidR="00A573A3" w:rsidRPr="00190626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A573A3" w:rsidRDefault="00A573A3" w:rsidP="003827F8">
            <w:pPr>
              <w:spacing w:after="0" w:line="240" w:lineRule="auto"/>
            </w:pPr>
            <w:r>
              <w:t>Severe learning disability</w:t>
            </w:r>
          </w:p>
          <w:p w:rsidR="00A573A3" w:rsidRPr="001B20D1" w:rsidRDefault="00A573A3" w:rsidP="003827F8">
            <w:pPr>
              <w:spacing w:after="0" w:line="240" w:lineRule="auto"/>
            </w:pPr>
            <w:r>
              <w:t>Cannot read or write (apart form own name)</w:t>
            </w:r>
          </w:p>
        </w:tc>
        <w:tc>
          <w:tcPr>
            <w:tcW w:w="1734" w:type="dxa"/>
            <w:shd w:val="clear" w:color="auto" w:fill="F2F2F2"/>
          </w:tcPr>
          <w:p w:rsidR="00A573A3" w:rsidRPr="00CC7A92" w:rsidRDefault="00A573A3" w:rsidP="003827F8">
            <w:pPr>
              <w:spacing w:after="0" w:line="240" w:lineRule="auto"/>
            </w:pPr>
            <w:r w:rsidRPr="00CC7A92">
              <w:t>HP:0010864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Autistic features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>Formal diagnosis from neuropsychology</w:t>
            </w:r>
          </w:p>
        </w:tc>
        <w:tc>
          <w:tcPr>
            <w:tcW w:w="1734" w:type="dxa"/>
            <w:shd w:val="clear" w:color="auto" w:fill="F9FADE"/>
          </w:tcPr>
          <w:p w:rsidR="00A573A3" w:rsidRPr="00CC7A92" w:rsidRDefault="00A573A3" w:rsidP="003827F8">
            <w:pPr>
              <w:spacing w:after="0" w:line="240" w:lineRule="auto"/>
            </w:pPr>
            <w:r w:rsidRPr="00CC7A92">
              <w:t>HP:0000717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Attention/concentration</w:t>
            </w:r>
            <w:r>
              <w:rPr>
                <w:b/>
              </w:rPr>
              <w:t>/ behaviour</w:t>
            </w:r>
            <w:r w:rsidRPr="001B20D1">
              <w:rPr>
                <w:b/>
              </w:rPr>
              <w:t xml:space="preserve"> difficulties</w:t>
            </w:r>
            <w:r>
              <w:rPr>
                <w:b/>
              </w:rPr>
              <w:t>?</w:t>
            </w:r>
          </w:p>
        </w:tc>
        <w:tc>
          <w:tcPr>
            <w:tcW w:w="4714" w:type="dxa"/>
            <w:shd w:val="clear" w:color="auto" w:fill="F2F2F2"/>
          </w:tcPr>
          <w:p w:rsidR="00A573A3" w:rsidRPr="001B20D1" w:rsidRDefault="00A573A3" w:rsidP="003827F8">
            <w:pPr>
              <w:spacing w:after="0" w:line="240" w:lineRule="auto"/>
            </w:pPr>
            <w:r>
              <w:t>No</w:t>
            </w:r>
          </w:p>
        </w:tc>
        <w:tc>
          <w:tcPr>
            <w:tcW w:w="1734" w:type="dxa"/>
            <w:shd w:val="clear" w:color="auto" w:fill="F2F2F2"/>
          </w:tcPr>
          <w:p w:rsidR="00A573A3" w:rsidRPr="005346C0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>Focal seizures: average 2 per night</w:t>
            </w:r>
          </w:p>
        </w:tc>
        <w:tc>
          <w:tcPr>
            <w:tcW w:w="173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A573A3" w:rsidRDefault="00A573A3" w:rsidP="003827F8">
            <w:pPr>
              <w:spacing w:after="0" w:line="240" w:lineRule="auto"/>
            </w:pPr>
            <w:r>
              <w:t>Sodium valproate</w:t>
            </w:r>
          </w:p>
          <w:p w:rsidR="00A573A3" w:rsidRDefault="00A573A3" w:rsidP="003827F8">
            <w:pPr>
              <w:spacing w:after="0" w:line="240" w:lineRule="auto"/>
            </w:pPr>
            <w:r>
              <w:t>Clobazam</w:t>
            </w:r>
          </w:p>
          <w:p w:rsidR="00A573A3" w:rsidRDefault="00A573A3" w:rsidP="003827F8">
            <w:pPr>
              <w:spacing w:after="0" w:line="240" w:lineRule="auto"/>
            </w:pPr>
            <w:proofErr w:type="spellStart"/>
            <w:r>
              <w:t>Sulthiame</w:t>
            </w:r>
            <w:proofErr w:type="spellEnd"/>
          </w:p>
          <w:p w:rsidR="00A573A3" w:rsidRPr="001B20D1" w:rsidRDefault="00A573A3" w:rsidP="003827F8">
            <w:pPr>
              <w:spacing w:after="0" w:line="240" w:lineRule="auto"/>
            </w:pPr>
            <w:r>
              <w:t>Lamotrigine</w:t>
            </w:r>
          </w:p>
        </w:tc>
        <w:tc>
          <w:tcPr>
            <w:tcW w:w="1734" w:type="dxa"/>
            <w:shd w:val="clear" w:color="auto" w:fill="F2F2F2"/>
          </w:tcPr>
          <w:p w:rsidR="00A573A3" w:rsidRPr="001B20D1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 xml:space="preserve">None </w:t>
            </w:r>
          </w:p>
        </w:tc>
        <w:tc>
          <w:tcPr>
            <w:tcW w:w="173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A573A3" w:rsidRDefault="00A573A3" w:rsidP="003827F8">
            <w:pPr>
              <w:spacing w:after="0" w:line="240" w:lineRule="auto"/>
            </w:pPr>
            <w:r>
              <w:t>Stooped gait</w:t>
            </w:r>
          </w:p>
          <w:p w:rsidR="00A573A3" w:rsidRDefault="00A573A3" w:rsidP="003827F8">
            <w:pPr>
              <w:spacing w:after="0" w:line="240" w:lineRule="auto"/>
            </w:pPr>
            <w:r>
              <w:t>Lower limb hypertonia</w:t>
            </w:r>
          </w:p>
          <w:p w:rsidR="00A573A3" w:rsidRDefault="00A573A3" w:rsidP="003827F8">
            <w:pPr>
              <w:spacing w:after="0" w:line="240" w:lineRule="auto"/>
            </w:pPr>
            <w:proofErr w:type="spellStart"/>
            <w:r>
              <w:t>Clinodactyly</w:t>
            </w:r>
            <w:proofErr w:type="spellEnd"/>
            <w:r>
              <w:t xml:space="preserve"> little finger left hand</w:t>
            </w:r>
          </w:p>
          <w:p w:rsidR="00A573A3" w:rsidRPr="001B20D1" w:rsidRDefault="00A573A3" w:rsidP="003827F8">
            <w:pPr>
              <w:spacing w:after="0" w:line="240" w:lineRule="auto"/>
            </w:pPr>
          </w:p>
        </w:tc>
        <w:tc>
          <w:tcPr>
            <w:tcW w:w="1734" w:type="dxa"/>
            <w:shd w:val="clear" w:color="auto" w:fill="F2F2F2"/>
          </w:tcPr>
          <w:p w:rsidR="00A573A3" w:rsidRDefault="00A573A3" w:rsidP="003827F8">
            <w:pPr>
              <w:spacing w:after="0" w:line="240" w:lineRule="auto"/>
            </w:pPr>
            <w:r w:rsidRPr="00CC7A92">
              <w:t>HP:0001288</w:t>
            </w:r>
          </w:p>
          <w:p w:rsidR="00A573A3" w:rsidRDefault="00A573A3" w:rsidP="003827F8">
            <w:pPr>
              <w:spacing w:after="0" w:line="240" w:lineRule="auto"/>
            </w:pPr>
            <w:r w:rsidRPr="00867BC0">
              <w:t>HP:0006895</w:t>
            </w:r>
          </w:p>
          <w:p w:rsidR="00A573A3" w:rsidRPr="00867BC0" w:rsidRDefault="00A573A3" w:rsidP="003827F8">
            <w:pPr>
              <w:spacing w:after="0" w:line="240" w:lineRule="auto"/>
            </w:pPr>
            <w:r>
              <w:t>HP:0004209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 xml:space="preserve">Chronic constipation </w:t>
            </w:r>
          </w:p>
        </w:tc>
        <w:tc>
          <w:tcPr>
            <w:tcW w:w="173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>HP:0002019</w:t>
            </w:r>
          </w:p>
        </w:tc>
      </w:tr>
      <w:tr w:rsidR="00A573A3" w:rsidRPr="001B20D1" w:rsidTr="00413920">
        <w:tc>
          <w:tcPr>
            <w:tcW w:w="2660" w:type="dxa"/>
            <w:shd w:val="clear" w:color="auto" w:fill="D9D9D9"/>
          </w:tcPr>
          <w:p w:rsidR="00A573A3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A573A3" w:rsidRDefault="00A573A3" w:rsidP="003827F8">
            <w:pPr>
              <w:spacing w:after="0" w:line="240" w:lineRule="auto"/>
            </w:pPr>
            <w:r>
              <w:t>157cm (-1.1)</w:t>
            </w:r>
          </w:p>
        </w:tc>
        <w:tc>
          <w:tcPr>
            <w:tcW w:w="1734" w:type="dxa"/>
            <w:shd w:val="clear" w:color="auto" w:fill="F2F2F2"/>
          </w:tcPr>
          <w:p w:rsidR="00A573A3" w:rsidRPr="001B20D1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c>
          <w:tcPr>
            <w:tcW w:w="2660" w:type="dxa"/>
            <w:shd w:val="clear" w:color="auto" w:fill="EAF1DD"/>
          </w:tcPr>
          <w:p w:rsidR="00A573A3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A573A3" w:rsidRDefault="00A573A3" w:rsidP="003827F8">
            <w:pPr>
              <w:spacing w:after="0" w:line="240" w:lineRule="auto"/>
            </w:pPr>
            <w:r>
              <w:t>55.5 (-0.01)</w:t>
            </w:r>
          </w:p>
        </w:tc>
        <w:tc>
          <w:tcPr>
            <w:tcW w:w="173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rPr>
          <w:trHeight w:val="632"/>
        </w:trPr>
        <w:tc>
          <w:tcPr>
            <w:tcW w:w="2660" w:type="dxa"/>
            <w:shd w:val="clear" w:color="auto" w:fill="D9D9D9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A573A3" w:rsidRPr="001B20D1" w:rsidRDefault="00A573A3" w:rsidP="003827F8">
            <w:pPr>
              <w:spacing w:after="0" w:line="240" w:lineRule="auto"/>
            </w:pPr>
            <w:r>
              <w:t>None</w:t>
            </w:r>
          </w:p>
        </w:tc>
        <w:tc>
          <w:tcPr>
            <w:tcW w:w="1734" w:type="dxa"/>
            <w:shd w:val="clear" w:color="auto" w:fill="F2F2F2"/>
          </w:tcPr>
          <w:p w:rsidR="00A573A3" w:rsidRPr="001B20D1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rPr>
          <w:trHeight w:val="165"/>
        </w:trPr>
        <w:tc>
          <w:tcPr>
            <w:tcW w:w="2660" w:type="dxa"/>
            <w:shd w:val="clear" w:color="auto" w:fill="EAF1DD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  <w:r>
              <w:t>2006 – MRI normal</w:t>
            </w:r>
          </w:p>
        </w:tc>
        <w:tc>
          <w:tcPr>
            <w:tcW w:w="1734" w:type="dxa"/>
            <w:shd w:val="clear" w:color="auto" w:fill="F9FADE"/>
          </w:tcPr>
          <w:p w:rsidR="00A573A3" w:rsidRPr="001B20D1" w:rsidRDefault="00A573A3" w:rsidP="003827F8">
            <w:pPr>
              <w:spacing w:after="0" w:line="240" w:lineRule="auto"/>
            </w:pPr>
          </w:p>
        </w:tc>
      </w:tr>
      <w:tr w:rsidR="00A573A3" w:rsidRPr="001B20D1" w:rsidTr="00413920">
        <w:trPr>
          <w:trHeight w:val="75"/>
        </w:trPr>
        <w:tc>
          <w:tcPr>
            <w:tcW w:w="2660" w:type="dxa"/>
            <w:shd w:val="clear" w:color="auto" w:fill="D9D9D9"/>
          </w:tcPr>
          <w:p w:rsidR="00A573A3" w:rsidRPr="001B20D1" w:rsidRDefault="00A573A3" w:rsidP="004965B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Ictal </w:t>
            </w:r>
            <w:r w:rsidRPr="001B20D1">
              <w:rPr>
                <w:b/>
              </w:rPr>
              <w:t>EEG</w:t>
            </w:r>
            <w:r>
              <w:rPr>
                <w:b/>
              </w:rPr>
              <w:t>s</w:t>
            </w:r>
          </w:p>
        </w:tc>
        <w:tc>
          <w:tcPr>
            <w:tcW w:w="4714" w:type="dxa"/>
            <w:shd w:val="clear" w:color="auto" w:fill="F2F2F2"/>
          </w:tcPr>
          <w:p w:rsidR="00A573A3" w:rsidRPr="001B20D1" w:rsidRDefault="00A573A3" w:rsidP="003827F8">
            <w:pPr>
              <w:spacing w:after="0" w:line="240" w:lineRule="auto"/>
            </w:pPr>
            <w:r>
              <w:t>1997 – left temporal sharp waves</w:t>
            </w:r>
          </w:p>
        </w:tc>
        <w:tc>
          <w:tcPr>
            <w:tcW w:w="1734" w:type="dxa"/>
            <w:shd w:val="clear" w:color="auto" w:fill="F2F2F2"/>
          </w:tcPr>
          <w:p w:rsidR="00A573A3" w:rsidRPr="005D0C50" w:rsidRDefault="00A573A3" w:rsidP="003827F8">
            <w:pPr>
              <w:spacing w:after="0" w:line="240" w:lineRule="auto"/>
            </w:pPr>
            <w:r w:rsidRPr="005D0C50">
              <w:t>HP:0011296</w:t>
            </w:r>
          </w:p>
        </w:tc>
      </w:tr>
      <w:tr w:rsidR="00A573A3" w:rsidRPr="001B20D1" w:rsidTr="00413920">
        <w:trPr>
          <w:trHeight w:val="75"/>
        </w:trPr>
        <w:tc>
          <w:tcPr>
            <w:tcW w:w="2660" w:type="dxa"/>
            <w:shd w:val="clear" w:color="auto" w:fill="EAF1DD"/>
          </w:tcPr>
          <w:p w:rsidR="00A573A3" w:rsidRDefault="00A573A3" w:rsidP="004965B4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Interictal</w:t>
            </w:r>
            <w:proofErr w:type="spellEnd"/>
            <w:r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A573A3" w:rsidRPr="001B20D1" w:rsidRDefault="00A573A3" w:rsidP="00E81AC1">
            <w:r>
              <w:t xml:space="preserve">1997 – rhythmic </w:t>
            </w:r>
            <w:proofErr w:type="spellStart"/>
            <w:r>
              <w:t>build up</w:t>
            </w:r>
            <w:proofErr w:type="spellEnd"/>
            <w:r>
              <w:t xml:space="preserve"> of moderate voltage 4-5Hz theta over left temporal area, spreading to all areas and becoming high voltage regular fast </w:t>
            </w:r>
            <w:r>
              <w:lastRenderedPageBreak/>
              <w:t>spiking</w:t>
            </w:r>
          </w:p>
        </w:tc>
        <w:tc>
          <w:tcPr>
            <w:tcW w:w="1734" w:type="dxa"/>
            <w:shd w:val="clear" w:color="auto" w:fill="F9FADE"/>
          </w:tcPr>
          <w:p w:rsidR="00A573A3" w:rsidRDefault="00A573A3" w:rsidP="003827F8">
            <w:pPr>
              <w:spacing w:after="0" w:line="240" w:lineRule="auto"/>
            </w:pPr>
            <w:r w:rsidRPr="005D0C50">
              <w:lastRenderedPageBreak/>
              <w:t>HP:0012018</w:t>
            </w:r>
          </w:p>
          <w:p w:rsidR="00A573A3" w:rsidRPr="005D0C50" w:rsidRDefault="00A573A3" w:rsidP="003827F8">
            <w:pPr>
              <w:spacing w:after="0" w:line="240" w:lineRule="auto"/>
            </w:pPr>
            <w:r w:rsidRPr="005D0C50">
              <w:t>HP:0011188</w:t>
            </w:r>
          </w:p>
        </w:tc>
      </w:tr>
    </w:tbl>
    <w:p w:rsidR="00A573A3" w:rsidRDefault="00A573A3"/>
    <w:sectPr w:rsidR="00A573A3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F4A"/>
    <w:rsid w:val="00011B25"/>
    <w:rsid w:val="00011DF5"/>
    <w:rsid w:val="00012EB6"/>
    <w:rsid w:val="0001414B"/>
    <w:rsid w:val="00027E6E"/>
    <w:rsid w:val="00032923"/>
    <w:rsid w:val="00041844"/>
    <w:rsid w:val="00047EAF"/>
    <w:rsid w:val="00052EA7"/>
    <w:rsid w:val="000605F1"/>
    <w:rsid w:val="00061A59"/>
    <w:rsid w:val="00090E37"/>
    <w:rsid w:val="000B6410"/>
    <w:rsid w:val="000C36CC"/>
    <w:rsid w:val="000E2BE0"/>
    <w:rsid w:val="000F28ED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26DB0"/>
    <w:rsid w:val="002307AE"/>
    <w:rsid w:val="0023496B"/>
    <w:rsid w:val="00241FB0"/>
    <w:rsid w:val="002669A5"/>
    <w:rsid w:val="00271E2C"/>
    <w:rsid w:val="002A0816"/>
    <w:rsid w:val="002B091A"/>
    <w:rsid w:val="002C483F"/>
    <w:rsid w:val="002D02D2"/>
    <w:rsid w:val="002E0821"/>
    <w:rsid w:val="002F0503"/>
    <w:rsid w:val="002F7704"/>
    <w:rsid w:val="00305148"/>
    <w:rsid w:val="0031230B"/>
    <w:rsid w:val="00313681"/>
    <w:rsid w:val="00313CA5"/>
    <w:rsid w:val="003140F6"/>
    <w:rsid w:val="00364DA7"/>
    <w:rsid w:val="003827F8"/>
    <w:rsid w:val="003A625E"/>
    <w:rsid w:val="003B7D38"/>
    <w:rsid w:val="003C12A0"/>
    <w:rsid w:val="003E22F3"/>
    <w:rsid w:val="003F379C"/>
    <w:rsid w:val="003F387C"/>
    <w:rsid w:val="004044CF"/>
    <w:rsid w:val="00413920"/>
    <w:rsid w:val="004252F5"/>
    <w:rsid w:val="004335B0"/>
    <w:rsid w:val="00434E32"/>
    <w:rsid w:val="00442B2C"/>
    <w:rsid w:val="00443613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D58C9"/>
    <w:rsid w:val="004F1FBE"/>
    <w:rsid w:val="004F44A1"/>
    <w:rsid w:val="00501759"/>
    <w:rsid w:val="0050736A"/>
    <w:rsid w:val="0050791A"/>
    <w:rsid w:val="005346C0"/>
    <w:rsid w:val="0053572A"/>
    <w:rsid w:val="00546A10"/>
    <w:rsid w:val="00551C23"/>
    <w:rsid w:val="005618A5"/>
    <w:rsid w:val="005A0D23"/>
    <w:rsid w:val="005C37D3"/>
    <w:rsid w:val="005C556C"/>
    <w:rsid w:val="005D05FD"/>
    <w:rsid w:val="005D0C50"/>
    <w:rsid w:val="005D35AF"/>
    <w:rsid w:val="005D3EA9"/>
    <w:rsid w:val="005E65A4"/>
    <w:rsid w:val="005F3767"/>
    <w:rsid w:val="006044BE"/>
    <w:rsid w:val="0061128F"/>
    <w:rsid w:val="00616C61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E6305"/>
    <w:rsid w:val="006F1964"/>
    <w:rsid w:val="007301F2"/>
    <w:rsid w:val="0073656D"/>
    <w:rsid w:val="007412F2"/>
    <w:rsid w:val="00741484"/>
    <w:rsid w:val="00751E2B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A1D59"/>
    <w:rsid w:val="007C3B69"/>
    <w:rsid w:val="007C7C73"/>
    <w:rsid w:val="007E4A96"/>
    <w:rsid w:val="008007B6"/>
    <w:rsid w:val="00833546"/>
    <w:rsid w:val="00837D91"/>
    <w:rsid w:val="00843D4D"/>
    <w:rsid w:val="00847010"/>
    <w:rsid w:val="00847FBF"/>
    <w:rsid w:val="00850D09"/>
    <w:rsid w:val="008534B5"/>
    <w:rsid w:val="00854AA3"/>
    <w:rsid w:val="00867BC0"/>
    <w:rsid w:val="00880491"/>
    <w:rsid w:val="008A110E"/>
    <w:rsid w:val="008D4019"/>
    <w:rsid w:val="008F598A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62E1"/>
    <w:rsid w:val="00937F64"/>
    <w:rsid w:val="00946865"/>
    <w:rsid w:val="00961175"/>
    <w:rsid w:val="00963075"/>
    <w:rsid w:val="009A2B2A"/>
    <w:rsid w:val="009B0029"/>
    <w:rsid w:val="009D09FD"/>
    <w:rsid w:val="009D0EAC"/>
    <w:rsid w:val="009E524D"/>
    <w:rsid w:val="00A13DCC"/>
    <w:rsid w:val="00A17B06"/>
    <w:rsid w:val="00A24A26"/>
    <w:rsid w:val="00A35269"/>
    <w:rsid w:val="00A42791"/>
    <w:rsid w:val="00A573A3"/>
    <w:rsid w:val="00A955D0"/>
    <w:rsid w:val="00AA40C9"/>
    <w:rsid w:val="00AB519B"/>
    <w:rsid w:val="00AC017A"/>
    <w:rsid w:val="00AC48F6"/>
    <w:rsid w:val="00AC7AF0"/>
    <w:rsid w:val="00AD3811"/>
    <w:rsid w:val="00B04715"/>
    <w:rsid w:val="00B159D5"/>
    <w:rsid w:val="00B24147"/>
    <w:rsid w:val="00B44217"/>
    <w:rsid w:val="00B62C66"/>
    <w:rsid w:val="00B652A4"/>
    <w:rsid w:val="00B71983"/>
    <w:rsid w:val="00B739B3"/>
    <w:rsid w:val="00B91A03"/>
    <w:rsid w:val="00BA1442"/>
    <w:rsid w:val="00BA2E2C"/>
    <w:rsid w:val="00BB6BC7"/>
    <w:rsid w:val="00BC6434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46CD1"/>
    <w:rsid w:val="00C72748"/>
    <w:rsid w:val="00C836B6"/>
    <w:rsid w:val="00CB7ABB"/>
    <w:rsid w:val="00CC6EBC"/>
    <w:rsid w:val="00CC7A92"/>
    <w:rsid w:val="00CE37C1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C6827"/>
    <w:rsid w:val="00DD5055"/>
    <w:rsid w:val="00DF6640"/>
    <w:rsid w:val="00E03F64"/>
    <w:rsid w:val="00E07E7D"/>
    <w:rsid w:val="00E17F4C"/>
    <w:rsid w:val="00E5569F"/>
    <w:rsid w:val="00E637C2"/>
    <w:rsid w:val="00E6716F"/>
    <w:rsid w:val="00E81AC1"/>
    <w:rsid w:val="00E85521"/>
    <w:rsid w:val="00E9762C"/>
    <w:rsid w:val="00EA02C7"/>
    <w:rsid w:val="00EA0D4D"/>
    <w:rsid w:val="00EB17FD"/>
    <w:rsid w:val="00EC0890"/>
    <w:rsid w:val="00EE5F4E"/>
    <w:rsid w:val="00F008AD"/>
    <w:rsid w:val="00F161F2"/>
    <w:rsid w:val="00F209FE"/>
    <w:rsid w:val="00F449F7"/>
    <w:rsid w:val="00F65256"/>
    <w:rsid w:val="00F76E1E"/>
    <w:rsid w:val="00F9406E"/>
    <w:rsid w:val="00F97164"/>
    <w:rsid w:val="00FB3308"/>
    <w:rsid w:val="00FB65D0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7469D16-535F-428C-A117-2640E77C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13</cp:revision>
  <dcterms:created xsi:type="dcterms:W3CDTF">2017-01-19T13:15:00Z</dcterms:created>
  <dcterms:modified xsi:type="dcterms:W3CDTF">2017-01-25T11:41:00Z</dcterms:modified>
</cp:coreProperties>
</file>