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EF7A06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4836" w:dyaOrig="7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85pt;height:271.45pt" o:ole="">
            <v:imagedata r:id="rId8" o:title=""/>
          </v:shape>
          <o:OLEObject Type="Embed" ProgID="Visio.Drawing.15" ShapeID="_x0000_i1025" DrawAspect="Content" ObjectID="_1646652871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quantity</w:t>
      </w:r>
      <w:proofErr w:type="spellEnd"/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21032" w:rsidRPr="008C2E95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1032" w:rsidRDefault="00321032" w:rsidP="00CA2D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 xml:space="preserve">unsigned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lastRenderedPageBreak/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це створення об'єктів існуючих класів як елементів інших класів.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E2529E" w:rsidRPr="00E2529E">
        <w:rPr>
          <w:rFonts w:ascii="Times New Roman" w:hAnsi="Times New Roman"/>
          <w:sz w:val="24"/>
          <w:szCs w:val="24"/>
          <w:lang w:val="uk-UA"/>
        </w:rPr>
        <w:t>один із класів являє собою деяку сутність, що включає в себе як складені частини інші сутності.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>)</w:t>
      </w:r>
      <w:r w:rsidR="000447A0">
        <w:rPr>
          <w:rFonts w:ascii="Times New Roman" w:hAnsi="Times New Roman"/>
          <w:sz w:val="24"/>
          <w:szCs w:val="24"/>
          <w:lang w:val="uk-UA"/>
        </w:rPr>
        <w:t xml:space="preserve"> 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B54FE"/>
    <w:rsid w:val="00155FB7"/>
    <w:rsid w:val="001C7D58"/>
    <w:rsid w:val="0028107E"/>
    <w:rsid w:val="00304BC1"/>
    <w:rsid w:val="00321032"/>
    <w:rsid w:val="003E25C0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3BE"/>
    <w:rsid w:val="007335F7"/>
    <w:rsid w:val="00785A36"/>
    <w:rsid w:val="007F2F86"/>
    <w:rsid w:val="00897F45"/>
    <w:rsid w:val="008C2E95"/>
    <w:rsid w:val="008F7F8E"/>
    <w:rsid w:val="009062AD"/>
    <w:rsid w:val="00921B98"/>
    <w:rsid w:val="00A91BC0"/>
    <w:rsid w:val="00A97CAE"/>
    <w:rsid w:val="00AA5611"/>
    <w:rsid w:val="00B24946"/>
    <w:rsid w:val="00B67E9E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6</cp:revision>
  <dcterms:created xsi:type="dcterms:W3CDTF">2020-03-03T09:32:00Z</dcterms:created>
  <dcterms:modified xsi:type="dcterms:W3CDTF">2020-03-25T12:48:00Z</dcterms:modified>
</cp:coreProperties>
</file>