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30000"/>
          <w:sz w:val="44"/>
        </w:rPr>
        <w:t>PITCH DECK — SCRIPT COMPLETO</w:t>
      </w:r>
    </w:p>
    <w:p>
      <w:pPr>
        <w:jc w:val="center"/>
      </w:pPr>
      <w:r>
        <w:rPr>
          <w:b/>
          <w:color w:val="6B0000"/>
          <w:sz w:val="28"/>
        </w:rPr>
        <w:t>Regulación del Alquiler y Dinámica del Mercado Residencial en Barcelona (2000–2025)</w:t>
      </w:r>
    </w:p>
    <w:p>
      <w:pPr>
        <w:jc w:val="center"/>
      </w:pPr>
      <w:r>
        <w:rPr>
          <w:color w:val="1A1A1A"/>
          <w:sz w:val="22"/>
        </w:rPr>
        <w:t>Katherine Soto  ·  Juan R. Ortiz  ·  Emilio Delgado</w:t>
      </w:r>
    </w:p>
    <w:p>
      <w:pPr>
        <w:jc w:val="center"/>
      </w:pPr>
      <w:r>
        <w:rPr>
          <w:i/>
          <w:color w:val="555555"/>
          <w:sz w:val="20"/>
        </w:rPr>
        <w:t>La Salle — Universitat Ramon Llull  ·  Mini-TFM 2026</w:t>
      </w:r>
    </w:p>
    <w:p>
      <w:pPr>
        <w:jc w:val="center"/>
      </w:pPr>
      <w:r>
        <w:rPr>
          <w:i/>
          <w:color w:val="555555"/>
          <w:sz w:val="18"/>
        </w:rPr>
        <w:t>Duración total: ~15 minutos  ·  Audiencia: data scientists, ingenieros, PhDs</w:t>
      </w:r>
    </w:p>
    <w:p>
      <w:pPr>
        <w:spacing w:before="160" w:after="160"/>
      </w:pPr>
      <w:r>
        <w:rPr>
          <w:color w:val="CCCCCC"/>
          <w:sz w:val="16"/>
        </w:rPr>
        <w:t>────────────────────────────────────────────────────────────────────────</w:t>
      </w:r>
    </w:p>
    <w:p>
      <w:pPr>
        <w:spacing w:after="60"/>
        <w:ind w:left="288"/>
      </w:pPr>
      <w:r>
        <w:rPr>
          <w:i/>
          <w:color w:val="555555"/>
          <w:sz w:val="18"/>
        </w:rPr>
        <w:t>[CÓDIGO DE COLORES DE LOCUTORES:]</w:t>
      </w:r>
    </w:p>
    <w:p>
      <w:pPr>
        <w:spacing w:after="60"/>
        <w:ind w:left="288"/>
      </w:pPr>
      <w:r>
        <w:rPr>
          <w:i/>
          <w:color w:val="555555"/>
          <w:sz w:val="18"/>
        </w:rPr>
        <w:t>[▶ KATHERINE SOTO (rojo) — Series temporales &amp; ITS]</w:t>
      </w:r>
    </w:p>
    <w:p>
      <w:pPr>
        <w:spacing w:after="60"/>
        <w:ind w:left="288"/>
      </w:pPr>
      <w:r>
        <w:rPr>
          <w:i/>
          <w:color w:val="555555"/>
          <w:sz w:val="18"/>
        </w:rPr>
        <w:t>[▶ JUAN R. ORTIZ (azul) — Econometría de panel &amp; M5]</w:t>
      </w:r>
    </w:p>
    <w:p>
      <w:pPr>
        <w:spacing w:after="60"/>
        <w:ind w:left="288"/>
      </w:pPr>
      <w:r>
        <w:rPr>
          <w:i/>
          <w:color w:val="555555"/>
          <w:sz w:val="18"/>
        </w:rPr>
        <w:t>[▶ EMILIO DELGADO (verde) — ML, SHAP &amp; análisis de sensibilidad]</w:t>
      </w:r>
    </w:p>
    <w:p>
      <w:pPr>
        <w:spacing w:before="160" w:after="160"/>
      </w:pPr>
      <w:r>
        <w:rPr>
          <w:color w:val="CCCCCC"/>
          <w:sz w:val="16"/>
        </w:rPr>
        <w:t>────────────────────────────────────────────────────────────────────────</w:t>
      </w:r>
    </w:p>
    <w:p>
      <w:pPr>
        <w:spacing w:before="360" w:after="80"/>
      </w:pPr>
      <w:r>
        <w:rPr>
          <w:b/>
          <w:color w:val="B30000"/>
          <w:sz w:val="40"/>
        </w:rPr>
        <w:t>SLIDE 01 — EL HOOK  [0:00 – 1:30]</w:t>
      </w:r>
    </w:p>
    <w:p>
      <w:pPr>
        <w:spacing w:after="60"/>
        <w:ind w:left="288"/>
      </w:pPr>
      <w:r>
        <w:rPr>
          <w:i/>
          <w:color w:val="555555"/>
          <w:sz w:val="18"/>
        </w:rPr>
        <w:t>[Pantalla: "CUANDO EL REGULADOR LLEGA…  PRECIO SUBE. CONTRATOS COLAPSAN. ¿POR QUÉ?"]</w:t>
      </w:r>
    </w:p>
    <w:p>
      <w:pPr>
        <w:spacing w:after="60"/>
        <w:ind w:left="288"/>
      </w:pPr>
      <w:r>
        <w:rPr>
          <w:i/>
          <w:color w:val="555555"/>
          <w:sz w:val="18"/>
        </w:rPr>
        <w:t>[Silencio de 3 segundos antes de empezar. Dejar que el título impacte.]</w:t>
      </w:r>
    </w:p>
    <w:p>
      <w:pPr>
        <w:spacing w:after="20" w:before="160"/>
      </w:pPr>
      <w:r>
        <w:rPr>
          <w:b/>
          <w:color w:val="B30000"/>
          <w:sz w:val="18"/>
        </w:rPr>
        <w:t>▶  KATHERINE SOTO:</w:t>
      </w:r>
    </w:p>
    <w:p>
      <w:pPr>
        <w:spacing w:after="80"/>
      </w:pPr>
      <w:r>
        <w:rPr>
          <w:i w:val="0"/>
          <w:color w:val="1A1A1A"/>
          <w:sz w:val="21"/>
        </w:rPr>
        <w:t>Permítanme empezar con un pensamiento incómodo para cualquier economista en esta sala.</w:t>
        <w:br/>
        <w:br/>
        <w:t>Imagine que usted es el alcalde de Barcelona. Es 2020. Los alquileres llevan seis años disparándose — un 65% en términos reales desde 2014. La gente no puede pagar. Usted promulga la primera ley de control de rentas de España desde la democracia.</w:t>
        <w:br/>
        <w:br/>
        <w:t>¿Qué espera que ocurra?</w:t>
      </w:r>
    </w:p>
    <w:p>
      <w:pPr>
        <w:spacing w:after="80"/>
      </w:pPr>
      <w:r>
        <w:rPr>
          <w:i/>
          <w:color w:val="1A1A1A"/>
          <w:sz w:val="21"/>
        </w:rPr>
        <w:t>"El precio medio baja. O al menos, se estabiliza."</w:t>
      </w:r>
    </w:p>
    <w:p>
      <w:pPr>
        <w:spacing w:after="80"/>
      </w:pPr>
      <w:r>
        <w:rPr>
          <w:i w:val="0"/>
          <w:color w:val="1A1A1A"/>
          <w:sz w:val="21"/>
        </w:rPr>
        <w:t>Eso espera cualquier persona con intuición económica básica.</w:t>
        <w:br/>
        <w:br/>
        <w:t>Ahora les presento los datos.</w:t>
        <w:br/>
        <w:br/>
        <w:t>Precio nominal: SUBE.</w:t>
        <w:br/>
        <w:t>Contratos registrados: CAEN.</w:t>
        <w:br/>
        <w:br/>
        <w:t>No en el período de derogación. No después. En el período de REGULACIÓN ACTIVA.</w:t>
        <w:br/>
        <w:br/>
        <w:t>Bienvenidos al efecto composición. Esta presentación es la historia matemática de por qué la regulación puede ser simultáneamente efectiva y autoderrotada — y cómo lo demostramos con 103 trimestres de datos, cuatro módulos estadísticos y treinta modelos de series temporales.</w:t>
      </w:r>
    </w:p>
    <w:p>
      <w:pPr>
        <w:spacing w:after="60"/>
        <w:ind w:left="288"/>
      </w:pPr>
      <w:r>
        <w:rPr>
          <w:i/>
          <w:color w:val="555555"/>
          <w:sz w:val="18"/>
        </w:rPr>
        <w:t>[Pausa. Mirar a la audiencia.]</w:t>
      </w:r>
    </w:p>
    <w:p>
      <w:pPr>
        <w:spacing w:after="80"/>
      </w:pPr>
      <w:r>
        <w:rPr>
          <w:i/>
          <w:color w:val="1A1A1A"/>
          <w:sz w:val="21"/>
        </w:rPr>
        <w:t>"Tenemos 15 minutos. Vamos al grano."</w:t>
      </w:r>
    </w:p>
    <w:p>
      <w:pPr>
        <w:spacing w:before="160" w:after="160"/>
      </w:pPr>
      <w:r>
        <w:rPr>
          <w:color w:val="CCCCCC"/>
          <w:sz w:val="16"/>
        </w:rPr>
        <w:t>────────────────────────────────────────────────────────────────────────</w:t>
      </w:r>
    </w:p>
    <w:p>
      <w:pPr>
        <w:spacing w:before="360" w:after="80"/>
      </w:pPr>
      <w:r>
        <w:rPr>
          <w:b/>
          <w:color w:val="B30000"/>
          <w:sz w:val="40"/>
        </w:rPr>
        <w:t>SLIDE 02 — EL PROBLEMA  [1:30 – 3:00]</w:t>
      </w:r>
    </w:p>
    <w:p>
      <w:pPr>
        <w:spacing w:after="60"/>
        <w:ind w:left="288"/>
      </w:pPr>
      <w:r>
        <w:rPr>
          <w:i/>
          <w:color w:val="555555"/>
          <w:sz w:val="18"/>
        </w:rPr>
        <w:t>[Pantalla: "3 LEYES. 5 AÑOS. 1 PARADOJA."]</w:t>
      </w:r>
    </w:p>
    <w:p>
      <w:pPr>
        <w:spacing w:after="60"/>
        <w:ind w:left="288"/>
      </w:pPr>
      <w:r>
        <w:rPr>
          <w:i/>
          <w:color w:val="555555"/>
          <w:sz w:val="18"/>
        </w:rPr>
        <w:t>[Mostrar el gráfico de los 5 períodos regulatorios en el lado derecho.]</w:t>
      </w:r>
    </w:p>
    <w:p>
      <w:pPr>
        <w:spacing w:after="20" w:before="160"/>
      </w:pPr>
      <w:r>
        <w:rPr>
          <w:b/>
          <w:color w:val="005599"/>
          <w:sz w:val="18"/>
        </w:rPr>
        <w:t>▶  JUAN R. ORTIZ:</w:t>
      </w:r>
    </w:p>
    <w:p>
      <w:pPr>
        <w:spacing w:after="80"/>
      </w:pPr>
      <w:r>
        <w:rPr>
          <w:i w:val="0"/>
          <w:color w:val="1A1A1A"/>
          <w:sz w:val="21"/>
        </w:rPr>
        <w:t>Barcelona entre 2020 y 2025 es lo que en econometría llamamos un laboratorio natural casi-experimental. No diseñado por ningún investigador, diseñado por el caos político y constitucional español.</w:t>
        <w:br/>
        <w:br/>
        <w:t>Tres eventos exógenos con fechas precisas:</w:t>
      </w:r>
    </w:p>
    <w:p>
      <w:pPr>
        <w:spacing w:after="80"/>
        <w:ind w:left="432"/>
      </w:pPr>
      <w:r>
        <w:rPr>
          <w:i w:val="0"/>
          <w:color w:val="1A1A1A"/>
          <w:sz w:val="21"/>
        </w:rPr>
        <w:t>Primero: Octubre 2020. La Generalitat promulga la Ley 11/2020. Topes de renta en zonas tensionadas. Primera vez en España desde la transición democrática.</w:t>
      </w:r>
    </w:p>
    <w:p>
      <w:pPr>
        <w:spacing w:after="80"/>
        <w:ind w:left="432"/>
      </w:pPr>
      <w:r>
        <w:rPr>
          <w:i w:val="0"/>
          <w:color w:val="1A1A1A"/>
          <w:sz w:val="21"/>
        </w:rPr>
        <w:t>Segundo: Marzo 2022. El Tribunal Constitucional declara inconstitucional el artículo de topes por invasión de competencias. Cinco trimestres de vacío regulatorio total. El mercado queda libre de golpe.</w:t>
      </w:r>
    </w:p>
    <w:p>
      <w:pPr>
        <w:spacing w:after="80"/>
        <w:ind w:left="432"/>
      </w:pPr>
      <w:r>
        <w:rPr>
          <w:i w:val="0"/>
          <w:color w:val="1A1A1A"/>
          <w:sz w:val="21"/>
        </w:rPr>
        <w:t>Tercero: Julio 2023. La Ley 12/2023 de Vivienda, de ámbito estatal, vuelve a declarar Barcelona zona tensionada. El ciclo se cierra, pero en un régimen diferente.</w:t>
      </w:r>
    </w:p>
    <w:p>
      <w:pPr>
        <w:spacing w:after="80"/>
      </w:pPr>
      <w:r>
        <w:rPr>
          <w:i w:val="0"/>
          <w:color w:val="1A1A1A"/>
          <w:sz w:val="21"/>
        </w:rPr>
        <w:t>Para cualquier econometrista o estadístico en esta sala, esto es oro. Tres variaciones institucionales exógenas, bien fechadas, sobre la misma geografía, con datos trimestrales de alta calidad que arrancan en el año 2000.</w:t>
        <w:br/>
        <w:br/>
        <w:t>Tenemos T=103 trimestres. Tenemos 10 distritos, 66 barrios con datos desde 2014. Y tenemos cuatro preguntas distintas que necesitan cuatro métodos distintos. Les presentamos los cuatro.</w:t>
      </w:r>
    </w:p>
    <w:p>
      <w:pPr>
        <w:spacing w:before="160" w:after="160"/>
      </w:pPr>
      <w:r>
        <w:rPr>
          <w:color w:val="CCCCCC"/>
          <w:sz w:val="16"/>
        </w:rPr>
        <w:t>────────────────────────────────────────────────────────────────────────</w:t>
      </w:r>
    </w:p>
    <w:p>
      <w:pPr>
        <w:spacing w:before="360" w:after="80"/>
      </w:pPr>
      <w:r>
        <w:rPr>
          <w:b/>
          <w:color w:val="B30000"/>
          <w:sz w:val="40"/>
        </w:rPr>
        <w:t>SLIDE 03 — EL EQUIPO  [3:00 – 3:45]</w:t>
      </w:r>
    </w:p>
    <w:p>
      <w:pPr>
        <w:spacing w:after="60"/>
        <w:ind w:left="288"/>
      </w:pPr>
      <w:r>
        <w:rPr>
          <w:i/>
          <w:color w:val="555555"/>
          <w:sz w:val="18"/>
        </w:rPr>
        <w:t>[Slide de presentación del equipo. Rápido pero necesario para credibilidad.]</w:t>
      </w:r>
    </w:p>
    <w:p>
      <w:pPr>
        <w:spacing w:after="20" w:before="160"/>
      </w:pPr>
      <w:r>
        <w:rPr>
          <w:b/>
          <w:color w:val="007A33"/>
          <w:sz w:val="18"/>
        </w:rPr>
        <w:t>▶  EMILIO DELGADO:</w:t>
      </w:r>
    </w:p>
    <w:p>
      <w:pPr>
        <w:spacing w:after="80"/>
      </w:pPr>
      <w:r>
        <w:rPr>
          <w:i w:val="0"/>
          <w:color w:val="1A1A1A"/>
          <w:sz w:val="21"/>
        </w:rPr>
        <w:t>Somos tres investigadores del Máster en Inteligencia Artificial de La Salle. Cada uno de nosotros se especializa en uno de los pilares metodológicos del estudio.</w:t>
        <w:br/>
        <w:br/>
        <w:t>Katherine — series temporales, SARIMAX, ITS.</w:t>
        <w:br/>
        <w:t>Juan — econometría de panel, estimador within.</w:t>
        <w:br/>
        <w:t>Yo — machine learning, SHAP, análisis de sensibilidad.</w:t>
        <w:br/>
        <w:br/>
        <w:t>Los datos vienen de cuatro fuentes oficiales: Incasol para los contratos, el INE para el IPC, el Banco de España para el Euríbor, e Idescat para el índice socioeconómico territorial de los barrios. Todo código abierto en Python 3.11.</w:t>
      </w:r>
    </w:p>
    <w:p>
      <w:pPr>
        <w:spacing w:before="160" w:after="160"/>
      </w:pPr>
      <w:r>
        <w:rPr>
          <w:color w:val="CCCCCC"/>
          <w:sz w:val="16"/>
        </w:rPr>
        <w:t>────────────────────────────────────────────────────────────────────────</w:t>
      </w:r>
    </w:p>
    <w:p>
      <w:pPr>
        <w:spacing w:before="360" w:after="80"/>
      </w:pPr>
      <w:r>
        <w:rPr>
          <w:b/>
          <w:color w:val="B30000"/>
          <w:sz w:val="40"/>
        </w:rPr>
        <w:t>SLIDE 04 — DATOS Y ARQUITECTURA ANALÍTICA  [3:45 – 5:00]</w:t>
      </w:r>
    </w:p>
    <w:p>
      <w:pPr>
        <w:spacing w:after="60"/>
        <w:ind w:left="288"/>
      </w:pPr>
      <w:r>
        <w:rPr>
          <w:i/>
          <w:color w:val="555555"/>
          <w:sz w:val="18"/>
        </w:rPr>
        <w:t>[Pantalla: cuatro fuentes, cuatro módulos.]</w:t>
      </w:r>
    </w:p>
    <w:p>
      <w:pPr>
        <w:spacing w:after="20" w:before="160"/>
      </w:pPr>
      <w:r>
        <w:rPr>
          <w:b/>
          <w:color w:val="B30000"/>
          <w:sz w:val="18"/>
        </w:rPr>
        <w:t>▶  KATHERINE SOTO:</w:t>
      </w:r>
    </w:p>
    <w:p>
      <w:pPr>
        <w:spacing w:after="80"/>
      </w:pPr>
      <w:r>
        <w:rPr>
          <w:i w:val="0"/>
          <w:color w:val="1A1A1A"/>
          <w:sz w:val="21"/>
        </w:rPr>
        <w:t>Antes de entrar en los resultados, arquitectura de datos. Porque un modelo no es mejor que los datos sobre los que se entrena.</w:t>
        <w:br/>
        <w:br/>
        <w:t>Tenemos una distinción crítica que a menudo se ignora: los datos de DISTRITOS van de 2000 a 2025 — 103 trimestres, base de las series temporales. Los datos de BARRIOS solo están disponibles desde 2014 — 47 trimestres, exclusivamente para el panel y la clasificación. Esta asimetría nos obligó a diseñar pipelines separados con índices temporales completados y deflactores aplicados de forma consistente.</w:t>
        <w:br/>
        <w:br/>
        <w:t>Las tres métricas que analizamos son deliberadas:</w:t>
      </w:r>
    </w:p>
    <w:p>
      <w:pPr>
        <w:spacing w:after="80"/>
        <w:ind w:left="432"/>
      </w:pPr>
      <w:r>
        <w:rPr>
          <w:i w:val="0"/>
          <w:color w:val="1A1A1A"/>
          <w:sz w:val="21"/>
        </w:rPr>
        <w:t>avg_rent_m2 — precio nominal. Lo que el inquilino ve en el contrato.</w:t>
      </w:r>
    </w:p>
    <w:p>
      <w:pPr>
        <w:spacing w:after="80"/>
        <w:ind w:left="432"/>
      </w:pPr>
      <w:r>
        <w:rPr>
          <w:i w:val="0"/>
          <w:color w:val="1A1A1A"/>
          <w:sz w:val="21"/>
        </w:rPr>
        <w:t>avg_rent_m2_real_2025base — precio deflactado. Lo que el inquilino realmente paga en poder adquisitivo.</w:t>
      </w:r>
    </w:p>
    <w:p>
      <w:pPr>
        <w:spacing w:after="80"/>
        <w:ind w:left="432"/>
      </w:pPr>
      <w:r>
        <w:rPr>
          <w:i w:val="0"/>
          <w:color w:val="1A1A1A"/>
          <w:sz w:val="21"/>
        </w:rPr>
        <w:t>num_contracts — volumen. Cuánta gente firma contratos de larga duración.</w:t>
      </w:r>
    </w:p>
    <w:p>
      <w:pPr>
        <w:spacing w:after="80"/>
      </w:pPr>
      <w:r>
        <w:rPr>
          <w:i w:val="0"/>
          <w:color w:val="1A1A1A"/>
          <w:sz w:val="21"/>
        </w:rPr>
        <w:t>La triangulación entre estas tres métricas es lo que hace posible separar el efecto composición de un simple movimiento de precios. Si solo miramos el precio nominal, nos perdemos la mitad de la historia.</w:t>
        <w:br/>
        <w:br/>
        <w:t>Cuatro módulos. Cuatro preguntas. Empecemos.</w:t>
      </w:r>
    </w:p>
    <w:p>
      <w:pPr>
        <w:spacing w:before="160" w:after="160"/>
      </w:pPr>
      <w:r>
        <w:rPr>
          <w:color w:val="CCCCCC"/>
          <w:sz w:val="16"/>
        </w:rPr>
        <w:t>────────────────────────────────────────────────────────────────────────</w:t>
      </w:r>
    </w:p>
    <w:p>
      <w:pPr>
        <w:spacing w:before="360" w:after="80"/>
      </w:pPr>
      <w:r>
        <w:rPr>
          <w:b/>
          <w:color w:val="B30000"/>
          <w:sz w:val="40"/>
        </w:rPr>
        <w:t>SLIDE 05 — PANEL FIXED EFFECTS  [5:00 – 7:00]</w:t>
      </w:r>
    </w:p>
    <w:p>
      <w:pPr>
        <w:spacing w:after="60"/>
        <w:ind w:left="288"/>
      </w:pPr>
      <w:r>
        <w:rPr>
          <w:i/>
          <w:color w:val="555555"/>
          <w:sz w:val="18"/>
        </w:rPr>
        <w:t>[Pantalla: tabla M1–M3 + M5. Señalar columna M3 y la fila de la interacción M5.]</w:t>
      </w:r>
    </w:p>
    <w:p>
      <w:pPr>
        <w:spacing w:after="20" w:before="160"/>
      </w:pPr>
      <w:r>
        <w:rPr>
          <w:b/>
          <w:color w:val="005599"/>
          <w:sz w:val="18"/>
        </w:rPr>
        <w:t>▶  JUAN R. ORTIZ:</w:t>
      </w:r>
    </w:p>
    <w:p>
      <w:pPr>
        <w:spacing w:after="80"/>
      </w:pPr>
      <w:r>
        <w:rPr>
          <w:i w:val="0"/>
          <w:color w:val="1A1A1A"/>
          <w:sz w:val="21"/>
        </w:rPr>
        <w:t>Módulo uno: regresión de panel con efectos fijos. La pregunta es: ¿tiene la regulación un efecto medio identificable sobre la actividad contractual de los barrios, controlando por precio, Euríbor y estacionalidad?</w:t>
        <w:br/>
        <w:br/>
        <w:t>El estimador within — la demeaning transformation — elimina toda heterogeneidad fija por barrio. Las diferencias entre Gràcia y Nou Barris en nivel de renta, densidad demográfica, cualquier cosa constante en el tiempo, desaparece de la identificación. Solo miramos variación temporal dentro de cada barrio.</w:t>
        <w:br/>
        <w:br/>
        <w:t>Miren la columna M1: post_regulation = −0.015. No significativo. Parece que la ley no tuvo efecto.</w:t>
        <w:br/>
        <w:br/>
        <w:t>Ahora miren M3, controlando por precio, Euríbor y estacionalidad: post_regulation = +0.231, p &lt; 0.001. ¡Positivo! ¿Es paradójico?</w:t>
        <w:br/>
        <w:br/>
        <w:t>No. Es mediación estadística. Al controlar por el nivel de precio, emerge el efecto directo de la regulación sobre la rotación del segmento que PERMANECE en el mercado observable. El canal es: regulación → retira stock barato → el stock que queda tiene mayor rotación relativa. El efecto precio está en otro lugar.</w:t>
        <w:br/>
        <w:br/>
        <w:t>Noten el coeficiente del Euríbor: −0.076, p &lt; 0.001. Un aumento de 100 puntos básicos reduce el crecimiento de contratos en 7.6 puntos porcentuales. El canal financiero es real y cuantitativamente relevante.</w:t>
      </w:r>
    </w:p>
    <w:p>
      <w:pPr>
        <w:spacing w:after="60"/>
        <w:ind w:left="288"/>
      </w:pPr>
      <w:r>
        <w:rPr>
          <w:i/>
          <w:color w:val="555555"/>
          <w:sz w:val="18"/>
        </w:rPr>
        <w:t>[Pausa breve. Señalar M5.]</w:t>
      </w:r>
    </w:p>
    <w:p>
      <w:pPr>
        <w:spacing w:after="80"/>
      </w:pPr>
      <w:r>
        <w:rPr>
          <w:i w:val="0"/>
          <w:color w:val="1A1A1A"/>
          <w:sz w:val="21"/>
        </w:rPr>
        <w:t>Ahora el test de heterogeneidad — modelo M5. Añadimos una interacción entre post_regulation y si el barrio es de renta alta o baja, definida por la mediana pre-2020.</w:t>
        <w:br/>
        <w:br/>
        <w:t>El coeficiente de la interacción es −0.019. No significativo. P=0.30.</w:t>
        <w:br/>
        <w:br/>
        <w:t>Este resultado es importante. Dice que la regulación afecta por igual a barrios ricos y pobres en el estimador within. La heterogeneidad que observaremos en el ITS no es por elasticidades distintas — es porque los niveles de precio de partida son distintos. Matemáticamente coherente, políticamente relevante.</w:t>
      </w:r>
    </w:p>
    <w:p>
      <w:pPr>
        <w:spacing w:before="160" w:after="160"/>
      </w:pPr>
      <w:r>
        <w:rPr>
          <w:color w:val="CCCCCC"/>
          <w:sz w:val="16"/>
        </w:rPr>
        <w:t>────────────────────────────────────────────────────────────────────────</w:t>
      </w:r>
    </w:p>
    <w:p>
      <w:pPr>
        <w:spacing w:before="360" w:after="80"/>
      </w:pPr>
      <w:r>
        <w:rPr>
          <w:b/>
          <w:color w:val="B30000"/>
          <w:sz w:val="40"/>
        </w:rPr>
        <w:t>SLIDE 06 — MACHINE LEARNING Y SHAP  [7:00 – 8:45]</w:t>
      </w:r>
    </w:p>
    <w:p>
      <w:pPr>
        <w:spacing w:after="60"/>
        <w:ind w:left="288"/>
      </w:pPr>
      <w:r>
        <w:rPr>
          <w:i/>
          <w:color w:val="555555"/>
          <w:sz w:val="18"/>
        </w:rPr>
        <w:t>[Pantalla: tabla AUC + beeswarm SHAP. Señalar el lag-4.]</w:t>
      </w:r>
    </w:p>
    <w:p>
      <w:pPr>
        <w:spacing w:after="20" w:before="160"/>
      </w:pPr>
      <w:r>
        <w:rPr>
          <w:b/>
          <w:color w:val="007A33"/>
          <w:sz w:val="18"/>
        </w:rPr>
        <w:t>▶  EMILIO DELGADO:</w:t>
      </w:r>
    </w:p>
    <w:p>
      <w:pPr>
        <w:spacing w:after="80"/>
      </w:pPr>
      <w:r>
        <w:rPr>
          <w:i w:val="0"/>
          <w:color w:val="1A1A1A"/>
          <w:sz w:val="21"/>
        </w:rPr>
        <w:t>Módulo dos: clasificación supervisada. La pregunta es diferente al panel: ¿podemos predecir qué barrios entrarán en tensión contractual en el test 2022–2025 entrenando solo hasta 2021?</w:t>
        <w:br/>
        <w:br/>
        <w:t>La versión sin ingeniería de características daba un AUC de 0.553 en el Random Forest. Modesto. La pregunta era si el AUC bajo era un límite del mercado o un límite de nuestras features.</w:t>
        <w:br/>
        <w:br/>
        <w:t>Respuesta: era nuestras features.</w:t>
        <w:br/>
        <w:br/>
        <w:t>Añadimos seis lag features: retardo-1 y retardo-4 de precio real, precio nominal y crecimiento de contratos. Idea sencilla: el mercado tiene inercia. Un barrio que cayó el año pasado tiene probabilidad elevada de seguir cayendo este año.</w:t>
        <w:br/>
        <w:br/>
        <w:t>Resultado: AUC pasa a 0.684. Un incremento de +0.131 puntos, confirmado por validación cruzada temporal con 5 folds: 0.684 ± 0.083. Robusto.</w:t>
        <w:br/>
        <w:br/>
        <w:t>Pero lo que me parece más interesante no es el número. Es el análisis SHAP.</w:t>
      </w:r>
    </w:p>
    <w:p>
      <w:pPr>
        <w:spacing w:after="60"/>
        <w:ind w:left="288"/>
      </w:pPr>
      <w:r>
        <w:rPr>
          <w:i/>
          <w:color w:val="555555"/>
          <w:sz w:val="18"/>
        </w:rPr>
        <w:t>[Señalar el beeswarm.]</w:t>
      </w:r>
    </w:p>
    <w:p>
      <w:pPr>
        <w:spacing w:after="80"/>
      </w:pPr>
      <w:r>
        <w:rPr>
          <w:i w:val="0"/>
          <w:color w:val="1A1A1A"/>
          <w:sz w:val="21"/>
        </w:rPr>
        <w:t>TreeExplainer nos da valores SHAP exactos — no Monte Carlo, exactos. La propiedad de eficiencia garantiza que la suma de todos los SHAPs reconstruye exactamente la predicción.</w:t>
        <w:br/>
        <w:br/>
        <w:t>El feature más importante no es el Euríbor. No es la regulación. No es el precio real.</w:t>
        <w:br/>
        <w:br/>
        <w:t>Es el retardo-4 del crecimiento de contratos. SHAP medio absoluto de 0.093.</w:t>
        <w:br/>
        <w:br/>
        <w:t>El signo negativo — −0.047 — dice que un retardo-4 positivo, es decir, que el año pasado los contratos crecieron, REDUCE la probabilidad de tensión ahora. Y al revés, una caída en t−4 AUMENTA la tensión presente. Inercia anual del mercado.</w:t>
        <w:br/>
        <w:br/>
        <w:t>El Euríbor aparece en sexto lugar, con signo positivo: tipos altos aumentan la tensión. Y la regulación aparece en octavo lugar, con signo negativo: la regulación activa modera la señal de tensión directa — lo cual es el lado bueno de la regulación que los datos sí capturan.</w:t>
        <w:br/>
        <w:br/>
        <w:t>La dependencia parcial SHAP entre precio real y Euríbor muestra una interacción: en barrios asequibles, el Euríbor alto amplifica la tensión más que en barrios caros. El segmento vulnerable es más sensible al ciclo financiero.</w:t>
      </w:r>
    </w:p>
    <w:p>
      <w:pPr>
        <w:spacing w:before="160" w:after="160"/>
      </w:pPr>
      <w:r>
        <w:rPr>
          <w:color w:val="CCCCCC"/>
          <w:sz w:val="16"/>
        </w:rPr>
        <w:t>────────────────────────────────────────────────────────────────────────</w:t>
      </w:r>
    </w:p>
    <w:p>
      <w:pPr>
        <w:spacing w:before="360" w:after="80"/>
      </w:pPr>
      <w:r>
        <w:rPr>
          <w:b/>
          <w:color w:val="B30000"/>
          <w:sz w:val="40"/>
        </w:rPr>
        <w:t>SLIDE 07 — SARIMAX E ITS: FORECASTING E INFERENCIA  [8:45 – 10:15]</w:t>
      </w:r>
    </w:p>
    <w:p>
      <w:pPr>
        <w:spacing w:after="60"/>
        <w:ind w:left="288"/>
      </w:pPr>
      <w:r>
        <w:rPr>
          <w:i/>
          <w:color w:val="555555"/>
          <w:sz w:val="18"/>
        </w:rPr>
        <w:t>[Pantalla: tabla MAPE + gráfico SARIMAX vs real.]</w:t>
      </w:r>
    </w:p>
    <w:p>
      <w:pPr>
        <w:spacing w:after="20" w:before="160"/>
      </w:pPr>
      <w:r>
        <w:rPr>
          <w:b/>
          <w:color w:val="B30000"/>
          <w:sz w:val="18"/>
        </w:rPr>
        <w:t>▶  KATHERINE SOTO:</w:t>
      </w:r>
    </w:p>
    <w:p>
      <w:pPr>
        <w:spacing w:after="80"/>
      </w:pPr>
      <w:r>
        <w:rPr>
          <w:i w:val="0"/>
          <w:color w:val="1A1A1A"/>
          <w:sz w:val="21"/>
        </w:rPr>
        <w:t>Módulo tres: series temporales. Treinta modelos SARIMAX — diez distritos por tres métricas — más cuatro modelos agregados ciudad.</w:t>
        <w:br/>
        <w:br/>
        <w:t>El orden (1,1,1)(1,0,1)₄ lo justificamos con una búsqueda en rejilla sobre 36 combinaciones de parámetros. El mejor modelo por AIC es el (1,1,1)(1,0,0)₄, con AIC 10.89. El modelo que usamos — (1,1,1)(1,0,1)₄ — ocupa la posición tres con AIC 12.82. ΔAIC = 1.93, dentro del intervalo de equivalencia estadística estándar de 2 puntos. Lo mantenemos por coherencia con el ACF/PACF, donde el lag-4 del MA estacional es visualmente significativo.</w:t>
        <w:br/>
        <w:br/>
        <w:t>Para precio nominal ciudad: MAPE 3.29% frente al 6.97% del naïve estacional. El SARIMAX gana.</w:t>
        <w:br/>
        <w:t>Para precio real: 6.01% SARIMAX vs 4.45% ETS. El ETS gana.</w:t>
        <w:br/>
        <w:t>Para contratos: 56.83% SARIMAX vs 19.43% naïve. ¡El naïve gana!</w:t>
        <w:br/>
        <w:br/>
        <w:t>Este patrón es teóricamente coherente: el Euríbor informa sobre el nivel monetario del precio. No informa sobre las decisiones individuales de firmar o no firmar un contrato, que dependen de factores micro locales. Los modelos deben elegirse por variable, no por conveniencia.</w:t>
        <w:br/>
        <w:br/>
        <w:t>El test ARCH-LM confirma que los intervalos de confianza son válidos en 29 de 30 combinaciones. La única excepción es Eixample × contratos — clusters de volatilidad asociados al boom/colapso de 2020–2021 que un GARCH(1,1) corregiría si necesitáramos inferencia precisa en ese caso.</w:t>
      </w:r>
    </w:p>
    <w:p>
      <w:pPr>
        <w:spacing w:before="160" w:after="160"/>
      </w:pPr>
      <w:r>
        <w:rPr>
          <w:color w:val="CCCCCC"/>
          <w:sz w:val="16"/>
        </w:rPr>
        <w:t>────────────────────────────────────────────────────────────────────────</w:t>
      </w:r>
    </w:p>
    <w:p>
      <w:pPr>
        <w:spacing w:before="360" w:after="80"/>
      </w:pPr>
      <w:r>
        <w:rPr>
          <w:b/>
          <w:color w:val="B30000"/>
          <w:sz w:val="40"/>
        </w:rPr>
        <w:t>SLIDE 08 — ITS-3: EL RESULTADO CENTRAL  [10:15 – 11:45]</w:t>
      </w:r>
    </w:p>
    <w:p>
      <w:pPr>
        <w:spacing w:after="60"/>
        <w:ind w:left="288"/>
      </w:pPr>
      <w:r>
        <w:rPr>
          <w:i/>
          <w:color w:val="555555"/>
          <w:sz w:val="18"/>
        </w:rPr>
        <w:t>[Pantalla: tabla ITS-3 completa + gráfico observado vs contrafactual.]</w:t>
      </w:r>
    </w:p>
    <w:p>
      <w:pPr>
        <w:spacing w:after="60"/>
        <w:ind w:left="288"/>
      </w:pPr>
      <w:r>
        <w:rPr>
          <w:i/>
          <w:color w:val="555555"/>
          <w:sz w:val="18"/>
        </w:rPr>
        <w:t>[Este es el slide más importante. Tomarse el tiempo necesario.]</w:t>
      </w:r>
    </w:p>
    <w:p>
      <w:pPr>
        <w:spacing w:after="20" w:before="160"/>
      </w:pPr>
      <w:r>
        <w:rPr>
          <w:b/>
          <w:color w:val="005599"/>
          <w:sz w:val="18"/>
        </w:rPr>
        <w:t>▶  JUAN R. ORTIZ:</w:t>
      </w:r>
    </w:p>
    <w:p>
      <w:pPr>
        <w:spacing w:after="80"/>
      </w:pPr>
      <w:r>
        <w:rPr>
          <w:i w:val="0"/>
          <w:color w:val="1A1A1A"/>
          <w:sz w:val="21"/>
        </w:rPr>
        <w:t>Llegamos al resultado central del paper. El Interrupted Time Series con tres rupturas.</w:t>
        <w:br/>
        <w:br/>
        <w:t>La especificación ITS-3 modela explícitamente la tendencia pre-regulación, el level shift inmediato de cada ruptura y el cambio de pendiente posterior. Los errores HAC Newey-West con cuatro lags corrigen la autocorrelación serial sin imponer estructura paramétrica.</w:t>
        <w:br/>
        <w:br/>
        <w:t>Tres hallazgos por ley:</w:t>
      </w:r>
    </w:p>
    <w:p>
      <w:pPr>
        <w:spacing w:after="80"/>
        <w:ind w:left="432"/>
      </w:pPr>
      <w:r>
        <w:rPr>
          <w:i w:val="0"/>
          <w:color w:val="1A1A1A"/>
          <w:sz w:val="21"/>
        </w:rPr>
        <w:t>Ley 11/2020: level shift en precio nominal de −1.11 €/m² (p=0.007). Efectiva. Pero sin efecto estadístico en precio real ni en contratos a nivel ciudad.</w:t>
      </w:r>
    </w:p>
    <w:p>
      <w:pPr>
        <w:spacing w:after="80"/>
        <w:ind w:left="432"/>
      </w:pPr>
      <w:r>
        <w:rPr>
          <w:i w:val="0"/>
          <w:color w:val="1A1A1A"/>
          <w:sz w:val="21"/>
        </w:rPr>
        <w:t>Derogación TC 2022: level shift en precio REAL de −0.558 €/m² (p=0.003). El mercado libre no recuperó el nivel real previo inmediatamente — la derogación ralentizó la subida real, paradójicamente.</w:t>
      </w:r>
    </w:p>
    <w:p>
      <w:pPr>
        <w:spacing w:after="80"/>
        <w:ind w:left="432"/>
      </w:pPr>
      <w:r>
        <w:rPr>
          <w:i w:val="0"/>
          <w:color w:val="1A1A1A"/>
          <w:sz w:val="21"/>
        </w:rPr>
        <w:t>Ley 12/2023 — aquí está la paradoja. Level shift en contratos: −1,588 por trimestre (p=0.007). Level shift en precio real: +0.495 €/m² (p=0.034). Mismo evento, misma fecha, efectos OPUESTOS en las dos métricas.</w:t>
      </w:r>
    </w:p>
    <w:p>
      <w:pPr>
        <w:spacing w:after="60"/>
        <w:ind w:left="288"/>
      </w:pPr>
      <w:r>
        <w:rPr>
          <w:i/>
          <w:color w:val="555555"/>
          <w:sz w:val="18"/>
        </w:rPr>
        <w:t>[Pausa. Mirar a la audiencia.]</w:t>
      </w:r>
    </w:p>
    <w:p>
      <w:pPr>
        <w:spacing w:after="80"/>
      </w:pPr>
      <w:r>
        <w:rPr>
          <w:i w:val="0"/>
          <w:color w:val="1A1A1A"/>
          <w:sz w:val="21"/>
        </w:rPr>
        <w:t>¿Cómo es posible que la misma ley contraiga el volumen Y suba el precio real?</w:t>
        <w:br/>
        <w:br/>
        <w:t>Hay una respuesta. Y es el tema del siguiente slide.</w:t>
      </w:r>
    </w:p>
    <w:p>
      <w:pPr>
        <w:spacing w:before="160" w:after="160"/>
      </w:pPr>
      <w:r>
        <w:rPr>
          <w:color w:val="CCCCCC"/>
          <w:sz w:val="16"/>
        </w:rPr>
        <w:t>────────────────────────────────────────────────────────────────────────</w:t>
      </w:r>
    </w:p>
    <w:p>
      <w:pPr>
        <w:spacing w:before="360" w:after="80"/>
      </w:pPr>
      <w:r>
        <w:rPr>
          <w:b/>
          <w:color w:val="B30000"/>
          <w:sz w:val="40"/>
        </w:rPr>
        <w:t>SLIDE 09 — EL EFECTO COMPOSICIÓN  [11:45 – 13:00]</w:t>
      </w:r>
    </w:p>
    <w:p>
      <w:pPr>
        <w:spacing w:after="60"/>
        <w:ind w:left="288"/>
      </w:pPr>
      <w:r>
        <w:rPr>
          <w:i/>
          <w:color w:val="555555"/>
          <w:sz w:val="18"/>
        </w:rPr>
        <w:t>[Pantalla: diagrama de los tres mecanismos.]</w:t>
      </w:r>
    </w:p>
    <w:p>
      <w:pPr>
        <w:spacing w:after="20" w:before="160"/>
      </w:pPr>
      <w:r>
        <w:rPr>
          <w:b/>
          <w:color w:val="B30000"/>
          <w:sz w:val="18"/>
        </w:rPr>
        <w:t>▶  KATHERINE SOTO:</w:t>
      </w:r>
    </w:p>
    <w:p>
      <w:pPr>
        <w:spacing w:after="80"/>
      </w:pPr>
      <w:r>
        <w:rPr>
          <w:i w:val="0"/>
          <w:color w:val="1A1A1A"/>
          <w:sz w:val="21"/>
        </w:rPr>
        <w:t>El efecto composición. Este es el mecanismo que reconcilia la paradoja.</w:t>
        <w:br/>
        <w:br/>
        <w:t>Cuando la Ley 12/2023 fija un tope de renta indexado al índice de referencia, no todos los propietarios reaccionan igual. El propietario cuyo alquiler de mercado está POR ENCIMA del tope lo acepta. Tiene margen. El propietario cuyo alquiler está por DEBAJO del tope, o cuya vivienda necesita reformas que el tope no compensa, tiene dos opciones: alquiler de temporada, exento de la ley, o dejar la vivienda vacía.</w:t>
        <w:br/>
        <w:br/>
        <w:t>¿Qué tipo de vivienda tiene alquiler más ajustado al tope? Las más asequibles, las más pequeñas, las más viejas. El stock BARATO.</w:t>
        <w:br/>
        <w:br/>
        <w:t>¿Qué queda en el mercado habitual? El stock PREMIUM.</w:t>
        <w:br/>
        <w:br/>
        <w:t>Pero la variable avg_rent_m2 que medimos es la media ponderada del stock OBSERVABLE en cada trimestre. Si el stock observable se hace progresivamente más premium, la media sube — incluso si cada piso individual está topado.</w:t>
        <w:br/>
        <w:br/>
        <w:t>El modelo M5 confirma que esto no es un fenómeno localizado en barrios ricos: es homogéneo entre barrios de renta alta y baja. El mecanismo opera en toda la ciudad, con distintas magnitudes absolutas.</w:t>
        <w:br/>
        <w:br/>
        <w:t>Diamond, McQuade y Qian documentaron exactamente este mecanismo en San Francisco en el American Economic Review de 2019: −15% de oferta regulada, reconversión hacia usos alternativos, precios del segmento no regulado +5-7%.</w:t>
        <w:br/>
        <w:br/>
        <w:t>Nosotros documentamos el mismo fenómeno en Barcelona, con datos más ricos y en el contexto de tres ciclos regulatorios consecutivos.</w:t>
      </w:r>
    </w:p>
    <w:p>
      <w:pPr>
        <w:spacing w:before="160" w:after="160"/>
      </w:pPr>
      <w:r>
        <w:rPr>
          <w:color w:val="CCCCCC"/>
          <w:sz w:val="16"/>
        </w:rPr>
        <w:t>────────────────────────────────────────────────────────────────────────</w:t>
      </w:r>
    </w:p>
    <w:p>
      <w:pPr>
        <w:spacing w:before="360" w:after="80"/>
      </w:pPr>
      <w:r>
        <w:rPr>
          <w:b/>
          <w:color w:val="B30000"/>
          <w:sz w:val="40"/>
        </w:rPr>
        <w:t>SLIDE 10 — ANÁLISIS DE SENSIBILIDAD  [13:00 – 13:45]</w:t>
      </w:r>
    </w:p>
    <w:p>
      <w:pPr>
        <w:spacing w:after="60"/>
        <w:ind w:left="288"/>
      </w:pPr>
      <w:r>
        <w:rPr>
          <w:i/>
          <w:color w:val="555555"/>
          <w:sz w:val="18"/>
        </w:rPr>
        <w:t>[Pantalla: gráfico del punto de indiferencia.]</w:t>
      </w:r>
    </w:p>
    <w:p>
      <w:pPr>
        <w:spacing w:after="20" w:before="160"/>
      </w:pPr>
      <w:r>
        <w:rPr>
          <w:b/>
          <w:color w:val="007A33"/>
          <w:sz w:val="18"/>
        </w:rPr>
        <w:t>▶  EMILIO DELGADO:</w:t>
      </w:r>
    </w:p>
    <w:p>
      <w:pPr>
        <w:spacing w:after="80"/>
      </w:pPr>
      <w:r>
        <w:rPr>
          <w:i w:val="0"/>
          <w:color w:val="1A1A1A"/>
          <w:sz w:val="21"/>
        </w:rPr>
        <w:t>Un investigador honesto debe preguntarse: ¿y si el coeficiente negativo de contratos es simplemente sesgo por datos faltantes? Los datos de temporada no están en nuestro dataset.</w:t>
        <w:br/>
        <w:br/>
        <w:t>Formalizamos esto. Si una fracción δ de los contratos habituales migró a temporada bajo la Ley 12/2023, el coeficiente observado de −1,588 es la suma del efecto real más el sesgo de selección.</w:t>
        <w:br/>
        <w:br/>
        <w:t>El punto de indiferencia — la tasa δ a la que el efecto real sería exactamente cero — es 20.3%.</w:t>
        <w:br/>
        <w:br/>
        <w:t>Con 5% de sustitución: efecto real todavía −1,197 contratos por trimestre.</w:t>
        <w:br/>
        <w:t>Con 15%: −414. Negativo pero moderado.</w:t>
        <w:br/>
        <w:t>A partir del 20.3%: el efecto se anula o invierte.</w:t>
        <w:br/>
        <w:br/>
        <w:t>Las estimaciones de crecimiento de contratos de temporada en Barcelona 2023–2025 sugieren tasas entre el 15 y el 35%. Conclusión honesta: reportamos β_{D12} = −1,588 como cota superior de la contracción real. La dirección del efecto es robusta; la magnitud exacta requiere datos de temporada.</w:t>
      </w:r>
    </w:p>
    <w:p>
      <w:pPr>
        <w:spacing w:before="160" w:after="160"/>
      </w:pPr>
      <w:r>
        <w:rPr>
          <w:color w:val="CCCCCC"/>
          <w:sz w:val="16"/>
        </w:rPr>
        <w:t>────────────────────────────────────────────────────────────────────────</w:t>
      </w:r>
    </w:p>
    <w:p>
      <w:pPr>
        <w:spacing w:before="360" w:after="80"/>
      </w:pPr>
      <w:r>
        <w:rPr>
          <w:b/>
          <w:color w:val="B30000"/>
          <w:sz w:val="40"/>
        </w:rPr>
        <w:t>SLIDE 11 — CONCLUSIONES  [13:45 – 14:30]</w:t>
      </w:r>
    </w:p>
    <w:p>
      <w:pPr>
        <w:spacing w:after="60"/>
        <w:ind w:left="288"/>
      </w:pPr>
      <w:r>
        <w:rPr>
          <w:i/>
          <w:color w:val="555555"/>
          <w:sz w:val="18"/>
        </w:rPr>
        <w:t>[Pantalla: cuatro conclusiones numeradas.]</w:t>
      </w:r>
    </w:p>
    <w:p>
      <w:pPr>
        <w:spacing w:after="20" w:before="160"/>
      </w:pPr>
      <w:r>
        <w:rPr>
          <w:b/>
          <w:color w:val="005599"/>
          <w:sz w:val="18"/>
        </w:rPr>
        <w:t>▶  JUAN R. ORTIZ:</w:t>
      </w:r>
    </w:p>
    <w:p>
      <w:pPr>
        <w:spacing w:after="80"/>
      </w:pPr>
      <w:r>
        <w:rPr>
          <w:i w:val="0"/>
          <w:color w:val="1A1A1A"/>
          <w:sz w:val="21"/>
        </w:rPr>
        <w:t>Cuatro conclusiones, brevemente:</w:t>
        <w:br/>
        <w:br/>
        <w:t>Uno: los tres ciclos regulatorios tienen efectos estadísticamente distinguibles y diferenciados por métrica. Las leyes no actúan igual sobre el precio nominal, el real y el volumen.</w:t>
        <w:br/>
        <w:br/>
        <w:t>Dos: la ingeniería de lag features eleva el AUC del Random Forest de 0.553 a 0.684. La inercia temporal del mercado es la señal dominante en la predicción de tensión.</w:t>
        <w:br/>
        <w:br/>
        <w:t>Tres: el SARIMAX con orden justificado por grid search supera al naïve en precio nominal pero no en contratos. El método óptimo depende de la variable, no solo del algoritmo.</w:t>
        <w:br/>
        <w:br/>
        <w:t>Cuatro: el efecto composición es el mecanismo central que reconcilia la paradoja precio/volumen bajo Ley 12/2023. Documentado de forma estadísticamente robusta y geográficamente consistente.</w:t>
      </w:r>
    </w:p>
    <w:p>
      <w:pPr>
        <w:spacing w:before="160" w:after="160"/>
      </w:pPr>
      <w:r>
        <w:rPr>
          <w:color w:val="CCCCCC"/>
          <w:sz w:val="16"/>
        </w:rPr>
        <w:t>────────────────────────────────────────────────────────────────────────</w:t>
      </w:r>
    </w:p>
    <w:p>
      <w:pPr>
        <w:spacing w:before="360" w:after="80"/>
      </w:pPr>
      <w:r>
        <w:rPr>
          <w:b/>
          <w:color w:val="B30000"/>
          <w:sz w:val="40"/>
        </w:rPr>
        <w:t>SLIDE 12 — AGENDA CIENTÍFICA ABIERTA  [14:30 – 15:00]</w:t>
      </w:r>
    </w:p>
    <w:p>
      <w:pPr>
        <w:spacing w:after="60"/>
        <w:ind w:left="288"/>
      </w:pPr>
      <w:r>
        <w:rPr>
          <w:i/>
          <w:color w:val="555555"/>
          <w:sz w:val="18"/>
        </w:rPr>
        <w:t>[Pantalla: cinco líneas abiertas. Rápido.]</w:t>
      </w:r>
    </w:p>
    <w:p>
      <w:pPr>
        <w:spacing w:after="20" w:before="160"/>
      </w:pPr>
      <w:r>
        <w:rPr>
          <w:b/>
          <w:color w:val="007A33"/>
          <w:sz w:val="18"/>
        </w:rPr>
        <w:t>▶  EMILIO DELGADO:</w:t>
      </w:r>
    </w:p>
    <w:p>
      <w:pPr>
        <w:spacing w:after="80"/>
      </w:pPr>
      <w:r>
        <w:rPr>
          <w:i w:val="0"/>
          <w:color w:val="1A1A1A"/>
          <w:sz w:val="21"/>
        </w:rPr>
        <w:t>Cinco líneas abiertas, para los que quieran continuar:</w:t>
        <w:br/>
        <w:br/>
        <w:t>Datos de contratos de temporada — para reducir el sesgo de sustitución y cuantificar δ* exacto.</w:t>
        <w:br/>
        <w:t>DiD con la región metropolitana — L'Hospitalet, Badalona como control — para identificación causal en Ley 11/2020.</w:t>
        <w:br/>
        <w:t>SARIMAX-GARCH para Eixample × contratos — ARCH detectado en ese caso específico.</w:t>
        <w:br/>
        <w:t>Nowcasting en tiempo real con datos del Catastro e Idealista.</w:t>
        <w:br/>
        <w:t>Análisis de grandes tenedores — la Ley 12/2023 crea asimetrías por tamaño de cartera que aún no hemos cuantificado.</w:t>
        <w:br/>
        <w:br/>
        <w:t>Preguntas.</w:t>
      </w:r>
    </w:p>
    <w:p>
      <w:pPr>
        <w:spacing w:after="60"/>
        <w:ind w:left="288"/>
      </w:pPr>
      <w:r>
        <w:rPr>
          <w:i/>
          <w:color w:val="555555"/>
          <w:sz w:val="18"/>
        </w:rPr>
        <w:t>[Dejar el slide final en pantalla durante el Q&amp;A.]</w:t>
      </w:r>
    </w:p>
    <w:p>
      <w:pPr>
        <w:spacing w:before="160" w:after="160"/>
      </w:pPr>
      <w:r>
        <w:rPr>
          <w:color w:val="CCCCCC"/>
          <w:sz w:val="16"/>
        </w:rPr>
        <w:t>────────────────────────────────────────────────────────────────────────</w:t>
      </w:r>
    </w:p>
    <w:p>
      <w:pPr>
        <w:spacing w:before="360" w:after="80"/>
      </w:pPr>
      <w:r>
        <w:rPr>
          <w:b/>
          <w:color w:val="B30000"/>
          <w:sz w:val="40"/>
        </w:rPr>
        <w:t>SLIDE 13 — CIERRE / Q&amp;A  [15:00]</w:t>
      </w:r>
    </w:p>
    <w:p>
      <w:pPr>
        <w:spacing w:after="60"/>
        <w:ind w:left="288"/>
      </w:pPr>
      <w:r>
        <w:rPr>
          <w:i/>
          <w:color w:val="555555"/>
          <w:sz w:val="18"/>
        </w:rPr>
        <w:t>[Pantalla: "LET'S DISCUSS SCIENCE" + emails.]</w:t>
      </w:r>
    </w:p>
    <w:p>
      <w:pPr>
        <w:spacing w:after="60"/>
        <w:ind w:left="288"/>
      </w:pPr>
      <w:r>
        <w:rPr>
          <w:i/>
          <w:color w:val="555555"/>
          <w:sz w:val="18"/>
        </w:rPr>
        <w:t>[No hay texto de pitch para esta slide — es el espacio de preguntas.]</w:t>
      </w:r>
    </w:p>
    <w:p>
      <w:pPr>
        <w:spacing w:after="80"/>
      </w:pPr>
      <w:r>
        <w:rPr>
          <w:i w:val="0"/>
          <w:color w:val="1A1A1A"/>
          <w:sz w:val="21"/>
        </w:rPr>
        <w:t>Frase de cierre sugerida (Katherine, Juan o Emilio según fluya):</w:t>
      </w:r>
    </w:p>
    <w:p>
      <w:pPr>
        <w:spacing w:after="80"/>
      </w:pPr>
      <w:r>
        <w:rPr>
          <w:i/>
          <w:color w:val="1A1A1A"/>
          <w:sz w:val="21"/>
        </w:rPr>
        <w:t>"La regulación no destruye la demanda. La redistribuye hacia mercados que no vemos. Ese es el precio oculto de la política de vivienda — y también su mayor desafío estadístico."</w:t>
      </w:r>
    </w:p>
    <w:p>
      <w:pPr>
        <w:spacing w:before="160" w:after="160"/>
      </w:pPr>
      <w:r>
        <w:rPr>
          <w:color w:val="CCCCCC"/>
          <w:sz w:val="16"/>
        </w:rPr>
        <w:t>────────────────────────────────────────────────────────────────────────</w:t>
      </w:r>
    </w:p>
    <w:p>
      <w:pPr>
        <w:spacing w:before="360" w:after="80"/>
      </w:pPr>
      <w:r>
        <w:rPr>
          <w:b/>
          <w:color w:val="B30000"/>
          <w:sz w:val="40"/>
        </w:rPr>
        <w:t>GUÍA DE TIEMPOS — REFERENCIA RÁPIDA</w:t>
      </w:r>
    </w:p>
    <w:p>
      <w:pPr>
        <w:spacing w:after="40"/>
      </w:pPr>
      <w:r>
        <w:rPr>
          <w:b/>
          <w:color w:val="B30000"/>
          <w:sz w:val="18"/>
        </w:rPr>
        <w:t xml:space="preserve">00:00–01:30  </w:t>
      </w:r>
      <w:r>
        <w:rPr>
          <w:b/>
          <w:color w:val="B30000"/>
          <w:sz w:val="18"/>
        </w:rPr>
        <w:t xml:space="preserve">[Katherine]  </w:t>
      </w:r>
      <w:r>
        <w:rPr>
          <w:color w:val="1A1A1A"/>
          <w:sz w:val="18"/>
        </w:rPr>
        <w:t xml:space="preserve">Hook + paradoja precio/contratos  </w:t>
      </w:r>
      <w:r>
        <w:rPr>
          <w:i/>
          <w:color w:val="555555"/>
          <w:sz w:val="16"/>
        </w:rPr>
        <w:t>(1.5 min)</w:t>
      </w:r>
    </w:p>
    <w:p>
      <w:pPr>
        <w:spacing w:after="40"/>
      </w:pPr>
      <w:r>
        <w:rPr>
          <w:b/>
          <w:color w:val="B30000"/>
          <w:sz w:val="18"/>
        </w:rPr>
        <w:t xml:space="preserve">01:30–03:00  </w:t>
      </w:r>
      <w:r>
        <w:rPr>
          <w:b/>
          <w:color w:val="005599"/>
          <w:sz w:val="18"/>
        </w:rPr>
        <w:t xml:space="preserve">[Juan]  </w:t>
      </w:r>
      <w:r>
        <w:rPr>
          <w:color w:val="1A1A1A"/>
          <w:sz w:val="18"/>
        </w:rPr>
        <w:t xml:space="preserve">El problema — 3 leyes, 5 años  </w:t>
      </w:r>
      <w:r>
        <w:rPr>
          <w:i/>
          <w:color w:val="555555"/>
          <w:sz w:val="16"/>
        </w:rPr>
        <w:t>(1.5 min)</w:t>
      </w:r>
    </w:p>
    <w:p>
      <w:pPr>
        <w:spacing w:after="40"/>
      </w:pPr>
      <w:r>
        <w:rPr>
          <w:b/>
          <w:color w:val="B30000"/>
          <w:sz w:val="18"/>
        </w:rPr>
        <w:t xml:space="preserve">03:00–03:45  </w:t>
      </w:r>
      <w:r>
        <w:rPr>
          <w:b/>
          <w:color w:val="007A33"/>
          <w:sz w:val="18"/>
        </w:rPr>
        <w:t xml:space="preserve">[Emilio]  </w:t>
      </w:r>
      <w:r>
        <w:rPr>
          <w:color w:val="1A1A1A"/>
          <w:sz w:val="18"/>
        </w:rPr>
        <w:t xml:space="preserve">Quiénes somos  </w:t>
      </w:r>
      <w:r>
        <w:rPr>
          <w:i/>
          <w:color w:val="555555"/>
          <w:sz w:val="16"/>
        </w:rPr>
        <w:t>(0.75 min)</w:t>
      </w:r>
    </w:p>
    <w:p>
      <w:pPr>
        <w:spacing w:after="40"/>
      </w:pPr>
      <w:r>
        <w:rPr>
          <w:b/>
          <w:color w:val="B30000"/>
          <w:sz w:val="18"/>
        </w:rPr>
        <w:t xml:space="preserve">03:45–05:00  </w:t>
      </w:r>
      <w:r>
        <w:rPr>
          <w:b/>
          <w:color w:val="B30000"/>
          <w:sz w:val="18"/>
        </w:rPr>
        <w:t xml:space="preserve">[Katherine]  </w:t>
      </w:r>
      <w:r>
        <w:rPr>
          <w:color w:val="1A1A1A"/>
          <w:sz w:val="18"/>
        </w:rPr>
        <w:t xml:space="preserve">Datos y arquitectura analítica  </w:t>
      </w:r>
      <w:r>
        <w:rPr>
          <w:i/>
          <w:color w:val="555555"/>
          <w:sz w:val="16"/>
        </w:rPr>
        <w:t>(1.25 min)</w:t>
      </w:r>
    </w:p>
    <w:p>
      <w:pPr>
        <w:spacing w:after="40"/>
      </w:pPr>
      <w:r>
        <w:rPr>
          <w:b/>
          <w:color w:val="B30000"/>
          <w:sz w:val="18"/>
        </w:rPr>
        <w:t xml:space="preserve">05:00–07:00  </w:t>
      </w:r>
      <w:r>
        <w:rPr>
          <w:b/>
          <w:color w:val="005599"/>
          <w:sz w:val="18"/>
        </w:rPr>
        <w:t xml:space="preserve">[Juan]  </w:t>
      </w:r>
      <w:r>
        <w:rPr>
          <w:color w:val="1A1A1A"/>
          <w:sz w:val="18"/>
        </w:rPr>
        <w:t xml:space="preserve">Panel FE — M1-M3-M5  </w:t>
      </w:r>
      <w:r>
        <w:rPr>
          <w:i/>
          <w:color w:val="555555"/>
          <w:sz w:val="16"/>
        </w:rPr>
        <w:t>(2.0 min)</w:t>
      </w:r>
    </w:p>
    <w:p>
      <w:pPr>
        <w:spacing w:after="40"/>
      </w:pPr>
      <w:r>
        <w:rPr>
          <w:b/>
          <w:color w:val="B30000"/>
          <w:sz w:val="18"/>
        </w:rPr>
        <w:t xml:space="preserve">07:00–08:45  </w:t>
      </w:r>
      <w:r>
        <w:rPr>
          <w:b/>
          <w:color w:val="007A33"/>
          <w:sz w:val="18"/>
        </w:rPr>
        <w:t xml:space="preserve">[Emilio]  </w:t>
      </w:r>
      <w:r>
        <w:rPr>
          <w:color w:val="1A1A1A"/>
          <w:sz w:val="18"/>
        </w:rPr>
        <w:t xml:space="preserve">ML + lag features + SHAP  </w:t>
      </w:r>
      <w:r>
        <w:rPr>
          <w:i/>
          <w:color w:val="555555"/>
          <w:sz w:val="16"/>
        </w:rPr>
        <w:t>(1.75 min)</w:t>
      </w:r>
    </w:p>
    <w:p>
      <w:pPr>
        <w:spacing w:after="40"/>
      </w:pPr>
      <w:r>
        <w:rPr>
          <w:b/>
          <w:color w:val="B30000"/>
          <w:sz w:val="18"/>
        </w:rPr>
        <w:t xml:space="preserve">08:45–10:15  </w:t>
      </w:r>
      <w:r>
        <w:rPr>
          <w:b/>
          <w:color w:val="B30000"/>
          <w:sz w:val="18"/>
        </w:rPr>
        <w:t xml:space="preserve">[Katherine]  </w:t>
      </w:r>
      <w:r>
        <w:rPr>
          <w:color w:val="1A1A1A"/>
          <w:sz w:val="18"/>
        </w:rPr>
        <w:t xml:space="preserve">SARIMAX, grid search, ARCH  </w:t>
      </w:r>
      <w:r>
        <w:rPr>
          <w:i/>
          <w:color w:val="555555"/>
          <w:sz w:val="16"/>
        </w:rPr>
        <w:t>(1.5 min)</w:t>
      </w:r>
    </w:p>
    <w:p>
      <w:pPr>
        <w:spacing w:after="40"/>
      </w:pPr>
      <w:r>
        <w:rPr>
          <w:b/>
          <w:color w:val="B30000"/>
          <w:sz w:val="18"/>
        </w:rPr>
        <w:t xml:space="preserve">10:15–11:45  </w:t>
      </w:r>
      <w:r>
        <w:rPr>
          <w:b/>
          <w:color w:val="005599"/>
          <w:sz w:val="18"/>
        </w:rPr>
        <w:t xml:space="preserve">[Juan]  </w:t>
      </w:r>
      <w:r>
        <w:rPr>
          <w:color w:val="1A1A1A"/>
          <w:sz w:val="18"/>
        </w:rPr>
        <w:t xml:space="preserve">ITS-3 — la paradoja  </w:t>
      </w:r>
      <w:r>
        <w:rPr>
          <w:i/>
          <w:color w:val="555555"/>
          <w:sz w:val="16"/>
        </w:rPr>
        <w:t>(1.5 min)</w:t>
      </w:r>
    </w:p>
    <w:p>
      <w:pPr>
        <w:spacing w:after="40"/>
      </w:pPr>
      <w:r>
        <w:rPr>
          <w:b/>
          <w:color w:val="B30000"/>
          <w:sz w:val="18"/>
        </w:rPr>
        <w:t xml:space="preserve">11:45–13:00  </w:t>
      </w:r>
      <w:r>
        <w:rPr>
          <w:b/>
          <w:color w:val="B30000"/>
          <w:sz w:val="18"/>
        </w:rPr>
        <w:t xml:space="preserve">[Katherine]  </w:t>
      </w:r>
      <w:r>
        <w:rPr>
          <w:color w:val="1A1A1A"/>
          <w:sz w:val="18"/>
        </w:rPr>
        <w:t xml:space="preserve">Efecto composición  </w:t>
      </w:r>
      <w:r>
        <w:rPr>
          <w:i/>
          <w:color w:val="555555"/>
          <w:sz w:val="16"/>
        </w:rPr>
        <w:t>(1.25 min)</w:t>
      </w:r>
    </w:p>
    <w:p>
      <w:pPr>
        <w:spacing w:after="40"/>
      </w:pPr>
      <w:r>
        <w:rPr>
          <w:b/>
          <w:color w:val="B30000"/>
          <w:sz w:val="18"/>
        </w:rPr>
        <w:t xml:space="preserve">13:00–13:45  </w:t>
      </w:r>
      <w:r>
        <w:rPr>
          <w:b/>
          <w:color w:val="007A33"/>
          <w:sz w:val="18"/>
        </w:rPr>
        <w:t xml:space="preserve">[Emilio]  </w:t>
      </w:r>
      <w:r>
        <w:rPr>
          <w:color w:val="1A1A1A"/>
          <w:sz w:val="18"/>
        </w:rPr>
        <w:t xml:space="preserve">Análisis de sensibilidad 20.3%  </w:t>
      </w:r>
      <w:r>
        <w:rPr>
          <w:i/>
          <w:color w:val="555555"/>
          <w:sz w:val="16"/>
        </w:rPr>
        <w:t>(0.75 min)</w:t>
      </w:r>
    </w:p>
    <w:p>
      <w:pPr>
        <w:spacing w:after="40"/>
      </w:pPr>
      <w:r>
        <w:rPr>
          <w:b/>
          <w:color w:val="B30000"/>
          <w:sz w:val="18"/>
        </w:rPr>
        <w:t xml:space="preserve">13:45–14:30  </w:t>
      </w:r>
      <w:r>
        <w:rPr>
          <w:b/>
          <w:color w:val="005599"/>
          <w:sz w:val="18"/>
        </w:rPr>
        <w:t xml:space="preserve">[Juan]  </w:t>
      </w:r>
      <w:r>
        <w:rPr>
          <w:color w:val="1A1A1A"/>
          <w:sz w:val="18"/>
        </w:rPr>
        <w:t xml:space="preserve">Conclusiones  </w:t>
      </w:r>
      <w:r>
        <w:rPr>
          <w:i/>
          <w:color w:val="555555"/>
          <w:sz w:val="16"/>
        </w:rPr>
        <w:t>(0.75 min)</w:t>
      </w:r>
    </w:p>
    <w:p>
      <w:pPr>
        <w:spacing w:after="40"/>
      </w:pPr>
      <w:r>
        <w:rPr>
          <w:b/>
          <w:color w:val="B30000"/>
          <w:sz w:val="18"/>
        </w:rPr>
        <w:t xml:space="preserve">14:30–15:00  </w:t>
      </w:r>
      <w:r>
        <w:rPr>
          <w:b/>
          <w:color w:val="007A33"/>
          <w:sz w:val="18"/>
        </w:rPr>
        <w:t xml:space="preserve">[Emilio]  </w:t>
      </w:r>
      <w:r>
        <w:rPr>
          <w:color w:val="1A1A1A"/>
          <w:sz w:val="18"/>
        </w:rPr>
        <w:t xml:space="preserve">Líneas abiertas + cierre  </w:t>
      </w:r>
      <w:r>
        <w:rPr>
          <w:i/>
          <w:color w:val="555555"/>
          <w:sz w:val="16"/>
        </w:rPr>
        <w:t>(0.5 min)</w:t>
      </w:r>
    </w:p>
    <w:p>
      <w:pPr>
        <w:spacing w:after="40"/>
      </w:pPr>
      <w:r>
        <w:rPr>
          <w:b/>
          <w:color w:val="B30000"/>
          <w:sz w:val="18"/>
        </w:rPr>
        <w:t xml:space="preserve">15:00+  </w:t>
      </w:r>
      <w:r>
        <w:rPr>
          <w:b/>
          <w:color w:val="007A33"/>
          <w:sz w:val="18"/>
        </w:rPr>
        <w:t xml:space="preserve">[Todos]  </w:t>
      </w:r>
      <w:r>
        <w:rPr>
          <w:color w:val="1A1A1A"/>
          <w:sz w:val="18"/>
        </w:rPr>
        <w:t xml:space="preserve">Q&amp;A  </w:t>
      </w:r>
      <w:r>
        <w:rPr>
          <w:i/>
          <w:color w:val="555555"/>
          <w:sz w:val="16"/>
        </w:rPr>
        <w:t>(sin límite)</w:t>
      </w:r>
    </w:p>
    <w:p>
      <w:pPr>
        <w:spacing w:before="160" w:after="160"/>
      </w:pPr>
      <w:r>
        <w:rPr>
          <w:color w:val="CCCCCC"/>
          <w:sz w:val="16"/>
        </w:rPr>
        <w:t>────────────────────────────────────────────────────────────────────────</w:t>
      </w:r>
    </w:p>
    <w:p>
      <w:pPr>
        <w:jc w:val="center"/>
      </w:pPr>
      <w:r>
        <w:rPr>
          <w:b/>
          <w:color w:val="B30000"/>
          <w:sz w:val="20"/>
        </w:rPr>
        <w:t>TOTAL ESTIMADO: 15 MINUTOS  ·  Q&amp;A: ilimitado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