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widowControl w:val="0"/>
        <w:spacing w:after="57" w:before="57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smallCaps w:val="0"/>
          <w:color w:val="1155cc"/>
          <w:sz w:val="40"/>
          <w:szCs w:val="40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mallCaps w:val="0"/>
          <w:color w:val="1155cc"/>
          <w:sz w:val="40"/>
          <w:szCs w:val="40"/>
          <w:u w:val="single"/>
          <w:rtl w:val="0"/>
        </w:rPr>
        <w:t xml:space="preserve">Общая схема действий при жалобах</w:t>
      </w:r>
    </w:p>
    <w:p w:rsidR="00000000" w:rsidDel="00000000" w:rsidP="00000000" w:rsidRDefault="00000000" w:rsidRPr="00000000" w14:paraId="00000002">
      <w:pPr>
        <w:widowControl w:val="0"/>
        <w:spacing w:after="57" w:before="57" w:lineRule="auto"/>
        <w:rPr>
          <w:rFonts w:ascii="Times New Roman" w:cs="Times New Roman" w:eastAsia="Times New Roman" w:hAnsi="Times New Roman"/>
          <w:i w:val="1"/>
          <w:iCs w:val="1"/>
          <w:color w:val="999999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999999"/>
          <w:sz w:val="24"/>
          <w:szCs w:val="24"/>
          <w:rtl w:val="0"/>
        </w:rPr>
        <w:t xml:space="preserve">Актуально на март 2026</w:t>
      </w:r>
    </w:p>
    <w:p w:rsidR="00000000" w:rsidDel="00000000" w:rsidP="00000000" w:rsidRDefault="00000000" w:rsidRPr="00000000" w14:paraId="00000003">
      <w:pPr>
        <w:widowControl w:val="0"/>
        <w:spacing w:after="57" w:before="57" w:lineRule="auto"/>
        <w:rPr>
          <w:rFonts w:ascii="Times New Roman" w:cs="Times New Roman" w:eastAsia="Times New Roman" w:hAnsi="Times New Roman"/>
          <w:i w:val="1"/>
          <w:iCs w:val="1"/>
          <w:color w:val="99999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widowControl w:val="0"/>
        <w:spacing w:after="57" w:before="57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smallCaps w:val="0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smallCaps w:val="0"/>
          <w:color w:val="000000"/>
          <w:sz w:val="24"/>
          <w:szCs w:val="24"/>
          <w:rtl w:val="0"/>
        </w:rPr>
        <w:t xml:space="preserve">В этом разделе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smallCaps w:val="0"/>
          <w:color w:val="000000"/>
          <w:sz w:val="24"/>
          <w:szCs w:val="24"/>
          <w:rtl w:val="0"/>
        </w:rPr>
        <w:t xml:space="preserve"> универсальный алгоритм действий, который подходит для любой проблемы с ЖКХ: куда обращаться в первую очередь, куда идти, если не помогло, и куда жаловаться в крайнем случае. Все контакты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smallCaps w:val="0"/>
          <w:color w:val="000000"/>
          <w:sz w:val="24"/>
          <w:szCs w:val="24"/>
          <w:rtl w:val="0"/>
        </w:rPr>
        <w:t xml:space="preserve"> для города Калуги.</w:t>
      </w:r>
    </w:p>
    <w:p w:rsidR="00000000" w:rsidDel="00000000" w:rsidP="00000000" w:rsidRDefault="00000000" w:rsidRPr="00000000" w14:paraId="00000005">
      <w:pPr>
        <w:widowControl w:val="0"/>
        <w:spacing w:after="57" w:before="57" w:lineRule="auto"/>
        <w:ind w:left="0" w:right="0" w:firstLine="0"/>
        <w:jc w:val="both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866.0" w:type="dxa"/>
        <w:jc w:val="left"/>
        <w:tblLayout w:type="fixed"/>
        <w:tblLook w:val="0000"/>
      </w:tblPr>
      <w:tblGrid>
        <w:gridCol w:w="2257"/>
        <w:gridCol w:w="3840"/>
        <w:gridCol w:w="3769"/>
        <w:tblGridChange w:id="0">
          <w:tblGrid>
            <w:gridCol w:w="2257"/>
            <w:gridCol w:w="3840"/>
            <w:gridCol w:w="3769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06">
            <w:pPr>
              <w:widowControl w:val="0"/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Этап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07">
            <w:pPr>
              <w:widowControl w:val="0"/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Что делать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08">
            <w:pPr>
              <w:widowControl w:val="0"/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Срок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09">
            <w:pPr>
              <w:widowControl w:val="0"/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1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0A">
            <w:pPr>
              <w:widowControl w:val="0"/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Зафиксировать нарушение (фото, видео, показания приборов)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0B">
            <w:pPr>
              <w:widowControl w:val="0"/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сразу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0C">
            <w:pPr>
              <w:widowControl w:val="0"/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2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0D">
            <w:pPr>
              <w:widowControl w:val="0"/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Позвонить в аварийно-диспетчерскую службу (АДС)* – получить номер заявки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0E">
            <w:pPr>
              <w:widowControl w:val="0"/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5 минут на ответ**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0F">
            <w:pPr>
              <w:widowControl w:val="0"/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3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0">
            <w:pPr>
              <w:widowControl w:val="0"/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Направить письменную претензию в УК или ресурсоснабжающую организацию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1">
            <w:pPr>
              <w:widowControl w:val="0"/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в течение 3–10 дней ответ***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2">
            <w:pPr>
              <w:widowControl w:val="0"/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4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3">
            <w:pPr>
              <w:widowControl w:val="0"/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Если не помогло – жалоба в ГЖИ (через ГИС ЖКХ или лично)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4">
            <w:pPr>
              <w:widowControl w:val="0"/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30 дней рассмотрение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5">
            <w:pPr>
              <w:widowControl w:val="0"/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5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6">
            <w:pPr>
              <w:widowControl w:val="0"/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Если не помогло – жалоба в прокуратуру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7">
            <w:pPr>
              <w:widowControl w:val="0"/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30 дней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8">
            <w:pPr>
              <w:widowControl w:val="0"/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6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9">
            <w:pPr>
              <w:widowControl w:val="0"/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Крайний шаг – суд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A">
            <w:pPr>
              <w:widowControl w:val="0"/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до 3 лет исковая давность</w:t>
            </w:r>
          </w:p>
        </w:tc>
      </w:tr>
    </w:tbl>
    <w:p w:rsidR="00000000" w:rsidDel="00000000" w:rsidP="00000000" w:rsidRDefault="00000000" w:rsidRPr="00000000" w14:paraId="0000001B">
      <w:pPr>
        <w:widowControl w:val="0"/>
        <w:spacing w:after="57" w:before="57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1"/>
          <w:iCs w:val="1"/>
          <w:smallCaps w:val="0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color w:val="000000"/>
          <w:sz w:val="24"/>
          <w:szCs w:val="24"/>
          <w:rtl w:val="0"/>
        </w:rPr>
        <w:t xml:space="preserve">* АДС (аварийно-диспетчерская служба) – круглосуточная служба при управляющей компании или ресурсоснабжающей организации, которая принимает заявки об авариях и неисправностях. Номер АДС указан в квитанции, на стенде в подъезде, на сайте УК или в ГИС ЖКХ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color w:val="00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widowControl w:val="0"/>
        <w:spacing w:after="57" w:before="57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1"/>
          <w:iCs w:val="1"/>
          <w:smallCaps w:val="0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color w:val="000000"/>
          <w:sz w:val="24"/>
          <w:szCs w:val="24"/>
          <w:rtl w:val="0"/>
        </w:rPr>
        <w:t xml:space="preserve">** При звонке в АДС обязательно спросите номер заявки – запишите его. Сотрудник АДС обязан назвать свою фамилию и номер заявки.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widowControl w:val="0"/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color w:val="000000"/>
          <w:sz w:val="24"/>
          <w:szCs w:val="24"/>
          <w:rtl w:val="0"/>
        </w:rPr>
        <w:t xml:space="preserve">*** Письменные обращения подаются в 2 экземплярах: один с отметкой о принятии (входящий номер, дата, подпись) остаётся у вас.</w:t>
      </w:r>
    </w:p>
    <w:p w:rsidR="00000000" w:rsidDel="00000000" w:rsidP="00000000" w:rsidRDefault="00000000" w:rsidRPr="00000000" w14:paraId="0000001E">
      <w:pPr>
        <w:widowControl w:val="0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widowControl w:val="0"/>
        <w:rPr>
          <w:rFonts w:ascii="Times New Roman" w:cs="Times New Roman" w:eastAsia="Times New Roman" w:hAnsi="Times New Roman"/>
          <w:i w:val="1"/>
          <w:iCs w:val="1"/>
          <w:color w:val="999999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999999"/>
          <w:sz w:val="24"/>
          <w:szCs w:val="24"/>
          <w:u w:val="single"/>
          <w:rtl w:val="0"/>
        </w:rPr>
        <w:t xml:space="preserve">Правила предоставления коммунальных услуг №354</w:t>
      </w:r>
    </w:p>
    <w:p w:rsidR="00000000" w:rsidDel="00000000" w:rsidP="00000000" w:rsidRDefault="00000000" w:rsidRPr="00000000" w14:paraId="00000020">
      <w:pPr>
        <w:widowControl w:val="0"/>
        <w:rPr>
          <w:rFonts w:ascii="Times New Roman" w:cs="Times New Roman" w:eastAsia="Times New Roman" w:hAnsi="Times New Roman"/>
          <w:i w:val="1"/>
          <w:iCs w:val="1"/>
          <w:color w:val="999999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999999"/>
          <w:sz w:val="24"/>
          <w:szCs w:val="24"/>
          <w:u w:val="single"/>
          <w:rtl w:val="0"/>
        </w:rPr>
        <w:t xml:space="preserve">Правила осуществления деятельности по управлению МКД №416</w:t>
      </w:r>
    </w:p>
    <w:p w:rsidR="00000000" w:rsidDel="00000000" w:rsidP="00000000" w:rsidRDefault="00000000" w:rsidRPr="00000000" w14:paraId="00000021">
      <w:pPr>
        <w:widowControl w:val="0"/>
        <w:rPr>
          <w:rFonts w:ascii="Times New Roman" w:cs="Times New Roman" w:eastAsia="Times New Roman" w:hAnsi="Times New Roman"/>
          <w:i w:val="1"/>
          <w:iCs w:val="1"/>
          <w:color w:val="999999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999999"/>
          <w:sz w:val="24"/>
          <w:szCs w:val="24"/>
          <w:u w:val="single"/>
          <w:rtl w:val="0"/>
        </w:rPr>
        <w:t xml:space="preserve">Постановление Губернатора Калужской области №708 от 15.12.2025</w:t>
      </w:r>
    </w:p>
    <w:p w:rsidR="00000000" w:rsidDel="00000000" w:rsidP="00000000" w:rsidRDefault="00000000" w:rsidRPr="00000000" w14:paraId="00000022">
      <w:pPr>
        <w:widowControl w:val="0"/>
        <w:rPr>
          <w:rFonts w:ascii="Times New Roman" w:cs="Times New Roman" w:eastAsia="Times New Roman" w:hAnsi="Times New Roman"/>
          <w:i w:val="1"/>
          <w:iCs w:val="1"/>
          <w:color w:val="999999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999999"/>
          <w:sz w:val="24"/>
          <w:szCs w:val="24"/>
          <w:u w:val="single"/>
          <w:rtl w:val="0"/>
        </w:rPr>
        <w:t xml:space="preserve">Информация с официальных сайтов ГЖИ и прокуратуры Калужской области</w:t>
      </w:r>
    </w:p>
    <w:p w:rsidR="00000000" w:rsidDel="00000000" w:rsidP="00000000" w:rsidRDefault="00000000" w:rsidRPr="00000000" w14:paraId="00000023">
      <w:pPr>
        <w:widowControl w:val="0"/>
        <w:rPr>
          <w:rFonts w:ascii="Times New Roman" w:cs="Times New Roman" w:eastAsia="Times New Roman" w:hAnsi="Times New Roman"/>
          <w:i w:val="1"/>
          <w:iCs w:val="1"/>
          <w:color w:val="99999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widowControl w:val="0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999999"/>
          <w:sz w:val="24"/>
          <w:szCs w:val="24"/>
          <w:rtl w:val="0"/>
        </w:rPr>
        <w:t xml:space="preserve">*Материал предоставлен в информационно-справочных целях</w:t>
      </w: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304" w:right="737" w:header="36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XO Thame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XO Thames" w:cs="XO Thames" w:eastAsia="XO Thames" w:hAnsi="XO Thames"/>
        <w:sz w:val="28"/>
        <w:szCs w:val="28"/>
      </w:rPr>
    </w:rPrDefault>
    <w:pPrDefault>
      <w:pPr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120" w:line="240" w:lineRule="auto"/>
      <w:ind w:left="0" w:right="0" w:firstLine="0"/>
      <w:jc w:val="both"/>
    </w:pPr>
    <w:rPr>
      <w:rFonts w:ascii="XO Thames" w:cs="XO Thames" w:eastAsia="XO Thames" w:hAnsi="XO Thames"/>
      <w:b w:val="1"/>
      <w:bCs w:val="1"/>
      <w:i w:val="0"/>
      <w:iCs w:val="0"/>
      <w:smallCaps w:val="0"/>
      <w:strike w:val="0"/>
      <w:color w:val="000000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120" w:line="240" w:lineRule="auto"/>
      <w:ind w:left="0" w:right="0" w:firstLine="0"/>
      <w:jc w:val="both"/>
    </w:pPr>
    <w:rPr>
      <w:rFonts w:ascii="XO Thames" w:cs="XO Thames" w:eastAsia="XO Thames" w:hAnsi="XO Thames"/>
      <w:b w:val="1"/>
      <w:bCs w:val="1"/>
      <w:i w:val="0"/>
      <w:iCs w:val="0"/>
      <w:smallCaps w:val="0"/>
      <w:strike w:val="0"/>
      <w:color w:val="000000"/>
      <w:sz w:val="28"/>
      <w:szCs w:val="28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120" w:line="240" w:lineRule="auto"/>
      <w:ind w:left="0" w:right="0" w:firstLine="0"/>
      <w:jc w:val="both"/>
    </w:pPr>
    <w:rPr>
      <w:rFonts w:ascii="XO Thames" w:cs="XO Thames" w:eastAsia="XO Thames" w:hAnsi="XO Thames"/>
      <w:b w:val="1"/>
      <w:bCs w:val="1"/>
      <w:i w:val="0"/>
      <w:iCs w:val="0"/>
      <w:smallCaps w:val="0"/>
      <w:strike w:val="0"/>
      <w:color w:val="000000"/>
      <w:sz w:val="26"/>
      <w:szCs w:val="26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120" w:line="240" w:lineRule="auto"/>
      <w:ind w:left="0" w:right="0" w:firstLine="0"/>
      <w:jc w:val="both"/>
    </w:pPr>
    <w:rPr>
      <w:rFonts w:ascii="XO Thames" w:cs="XO Thames" w:eastAsia="XO Thames" w:hAnsi="XO Thames"/>
      <w:b w:val="1"/>
      <w:bCs w:val="1"/>
      <w:i w:val="0"/>
      <w:iCs w:val="0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120" w:line="240" w:lineRule="auto"/>
      <w:ind w:left="0" w:right="0" w:firstLine="0"/>
      <w:jc w:val="both"/>
    </w:pPr>
    <w:rPr>
      <w:rFonts w:ascii="XO Thames" w:cs="XO Thames" w:eastAsia="XO Thames" w:hAnsi="XO Thames"/>
      <w:b w:val="1"/>
      <w:bCs w:val="1"/>
      <w:i w:val="0"/>
      <w:iCs w:val="0"/>
      <w:smallCaps w:val="0"/>
      <w:strike w:val="0"/>
      <w:color w:val="000000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567" w:before="567" w:line="240" w:lineRule="auto"/>
      <w:ind w:left="0" w:right="0" w:firstLine="0"/>
      <w:jc w:val="center"/>
    </w:pPr>
    <w:rPr>
      <w:rFonts w:ascii="XO Thames" w:cs="XO Thames" w:eastAsia="XO Thames" w:hAnsi="XO Thames"/>
      <w:b w:val="1"/>
      <w:bCs w:val="1"/>
      <w:i w:val="0"/>
      <w:iCs w:val="0"/>
      <w:smallCaps w:val="1"/>
      <w:strike w:val="0"/>
      <w:color w:val="000000"/>
      <w:sz w:val="40"/>
      <w:szCs w:val="40"/>
      <w:u w:val="none"/>
      <w:shd w:fill="auto" w:val="clear"/>
      <w:vertAlign w:val="baseline"/>
    </w:rPr>
  </w:style>
  <w:style w:type="paragraph" w:styleId="Style_2">
    <w:name w:val="toc 2"/>
    <w:next w:val="Style_1"/>
    <w:link w:val="Style_2_ch"/>
    <w:uiPriority w:val="39"/>
    <w:pPr>
      <w:ind w:left="200" w:firstLine="0"/>
      <w:jc w:val="left"/>
    </w:pPr>
    <w:rPr>
      <w:rFonts w:ascii="XO Thames" w:hAnsi="XO Thames"/>
      <w:sz w:val="28"/>
    </w:rPr>
  </w:style>
  <w:style w:type="character" w:styleId="Style_2_ch">
    <w:name w:val="toc 2"/>
    <w:link w:val="Style_2"/>
    <w:rPr>
      <w:rFonts w:ascii="XO Thames" w:hAnsi="XO Thames"/>
      <w:sz w:val="28"/>
    </w:rPr>
  </w:style>
  <w:style w:type="paragraph" w:styleId="Style_3">
    <w:name w:val="toc 4"/>
    <w:next w:val="Style_1"/>
    <w:link w:val="Style_3_ch"/>
    <w:uiPriority w:val="39"/>
    <w:pPr>
      <w:ind w:left="600" w:firstLine="0"/>
      <w:jc w:val="left"/>
    </w:pPr>
    <w:rPr>
      <w:rFonts w:ascii="XO Thames" w:hAnsi="XO Thames"/>
      <w:sz w:val="28"/>
    </w:rPr>
  </w:style>
  <w:style w:type="character" w:styleId="Style_3_ch">
    <w:name w:val="toc 4"/>
    <w:link w:val="Style_3"/>
    <w:rPr>
      <w:rFonts w:ascii="XO Thames" w:hAnsi="XO Thames"/>
      <w:sz w:val="28"/>
    </w:rPr>
  </w:style>
  <w:style w:type="paragraph" w:styleId="Style_4">
    <w:name w:val="toc 6"/>
    <w:next w:val="Style_1"/>
    <w:link w:val="Style_4_ch"/>
    <w:uiPriority w:val="39"/>
    <w:pPr>
      <w:ind w:left="1000" w:firstLine="0"/>
      <w:jc w:val="left"/>
    </w:pPr>
    <w:rPr>
      <w:rFonts w:ascii="XO Thames" w:hAnsi="XO Thames"/>
      <w:sz w:val="28"/>
    </w:rPr>
  </w:style>
  <w:style w:type="character" w:styleId="Style_4_ch">
    <w:name w:val="toc 6"/>
    <w:link w:val="Style_4"/>
    <w:rPr>
      <w:rFonts w:ascii="XO Thames" w:hAnsi="XO Thames"/>
      <w:sz w:val="28"/>
    </w:rPr>
  </w:style>
  <w:style w:type="paragraph" w:styleId="Style_5">
    <w:name w:val="toc 7"/>
    <w:next w:val="Style_1"/>
    <w:link w:val="Style_5_ch"/>
    <w:uiPriority w:val="39"/>
    <w:pPr>
      <w:ind w:left="1200" w:firstLine="0"/>
      <w:jc w:val="left"/>
    </w:pPr>
    <w:rPr>
      <w:rFonts w:ascii="XO Thames" w:hAnsi="XO Thames"/>
      <w:sz w:val="28"/>
    </w:rPr>
  </w:style>
  <w:style w:type="character" w:styleId="Style_5_ch">
    <w:name w:val="toc 7"/>
    <w:link w:val="Style_5"/>
    <w:rPr>
      <w:rFonts w:ascii="XO Thames" w:hAnsi="XO Thames"/>
      <w:sz w:val="28"/>
    </w:rPr>
  </w:style>
  <w:style w:type="paragraph" w:styleId="Style_6">
    <w:name w:val="Endnote"/>
    <w:link w:val="Style_6_ch"/>
    <w:pPr>
      <w:ind w:left="0" w:firstLine="851"/>
      <w:jc w:val="both"/>
    </w:pPr>
    <w:rPr>
      <w:rFonts w:ascii="XO Thames" w:hAnsi="XO Thames"/>
      <w:sz w:val="22"/>
    </w:rPr>
  </w:style>
  <w:style w:type="character" w:styleId="Style_6_ch">
    <w:name w:val="Endnote"/>
    <w:link w:val="Style_6"/>
    <w:rPr>
      <w:rFonts w:ascii="XO Thames" w:hAnsi="XO Thames"/>
      <w:sz w:val="22"/>
    </w:rPr>
  </w:style>
  <w:style w:type="paragraph" w:styleId="Style_8">
    <w:name w:val="toc 3"/>
    <w:next w:val="Style_1"/>
    <w:link w:val="Style_8_ch"/>
    <w:uiPriority w:val="39"/>
    <w:pPr>
      <w:ind w:left="400" w:firstLine="0"/>
      <w:jc w:val="left"/>
    </w:pPr>
    <w:rPr>
      <w:rFonts w:ascii="XO Thames" w:hAnsi="XO Thames"/>
      <w:sz w:val="28"/>
    </w:rPr>
  </w:style>
  <w:style w:type="character" w:styleId="Style_8_ch">
    <w:name w:val="toc 3"/>
    <w:link w:val="Style_8"/>
    <w:rPr>
      <w:rFonts w:ascii="XO Thames" w:hAnsi="XO Thames"/>
      <w:sz w:val="28"/>
    </w:rPr>
  </w:style>
  <w:style w:type="paragraph" w:styleId="Style_11">
    <w:name w:val="Hyperlink"/>
    <w:link w:val="Style_11_ch"/>
    <w:rPr>
      <w:color w:val="0000ff"/>
      <w:u w:val="single"/>
    </w:rPr>
  </w:style>
  <w:style w:type="character" w:styleId="Style_11_ch">
    <w:name w:val="Hyperlink"/>
    <w:link w:val="Style_11"/>
    <w:rPr>
      <w:color w:val="0000ff"/>
      <w:u w:val="single"/>
    </w:rPr>
  </w:style>
  <w:style w:type="paragraph" w:styleId="Style_12">
    <w:name w:val="Footnote"/>
    <w:link w:val="Style_12_ch"/>
    <w:pPr>
      <w:ind w:left="0" w:firstLine="851"/>
      <w:jc w:val="both"/>
    </w:pPr>
    <w:rPr>
      <w:rFonts w:ascii="XO Thames" w:hAnsi="XO Thames"/>
      <w:sz w:val="22"/>
    </w:rPr>
  </w:style>
  <w:style w:type="character" w:styleId="Style_12_ch">
    <w:name w:val="Footnote"/>
    <w:link w:val="Style_12"/>
    <w:rPr>
      <w:rFonts w:ascii="XO Thames" w:hAnsi="XO Thames"/>
      <w:sz w:val="22"/>
    </w:rPr>
  </w:style>
  <w:style w:type="paragraph" w:styleId="Style_13">
    <w:name w:val="toc 1"/>
    <w:next w:val="Style_1"/>
    <w:link w:val="Style_13_ch"/>
    <w:uiPriority w:val="39"/>
    <w:pPr>
      <w:ind w:left="0" w:firstLine="0"/>
      <w:jc w:val="left"/>
    </w:pPr>
    <w:rPr>
      <w:rFonts w:ascii="XO Thames" w:hAnsi="XO Thames"/>
      <w:b w:val="1"/>
      <w:sz w:val="28"/>
    </w:rPr>
  </w:style>
  <w:style w:type="character" w:styleId="Style_13_ch">
    <w:name w:val="toc 1"/>
    <w:link w:val="Style_13"/>
    <w:rPr>
      <w:rFonts w:ascii="XO Thames" w:hAnsi="XO Thames"/>
      <w:b w:val="1"/>
      <w:sz w:val="28"/>
    </w:rPr>
  </w:style>
  <w:style w:type="paragraph" w:styleId="Style_14">
    <w:name w:val="Header and Footer"/>
    <w:link w:val="Style_14_ch"/>
    <w:pPr>
      <w:spacing w:line="240" w:lineRule="auto"/>
      <w:ind/>
      <w:jc w:val="both"/>
    </w:pPr>
    <w:rPr>
      <w:rFonts w:ascii="XO Thames" w:hAnsi="XO Thames"/>
      <w:sz w:val="28"/>
    </w:rPr>
  </w:style>
  <w:style w:type="character" w:styleId="Style_14_ch">
    <w:name w:val="Header and Footer"/>
    <w:link w:val="Style_14"/>
    <w:rPr>
      <w:rFonts w:ascii="XO Thames" w:hAnsi="XO Thames"/>
      <w:sz w:val="28"/>
    </w:rPr>
  </w:style>
  <w:style w:type="paragraph" w:styleId="Style_15">
    <w:name w:val="toc 9"/>
    <w:next w:val="Style_1"/>
    <w:link w:val="Style_15_ch"/>
    <w:uiPriority w:val="39"/>
    <w:pPr>
      <w:ind w:left="1600" w:firstLine="0"/>
      <w:jc w:val="left"/>
    </w:pPr>
    <w:rPr>
      <w:rFonts w:ascii="XO Thames" w:hAnsi="XO Thames"/>
      <w:sz w:val="28"/>
    </w:rPr>
  </w:style>
  <w:style w:type="character" w:styleId="Style_15_ch">
    <w:name w:val="toc 9"/>
    <w:link w:val="Style_15"/>
    <w:rPr>
      <w:rFonts w:ascii="XO Thames" w:hAnsi="XO Thames"/>
      <w:sz w:val="28"/>
    </w:rPr>
  </w:style>
  <w:style w:type="paragraph" w:styleId="Style_16">
    <w:name w:val="toc 8"/>
    <w:next w:val="Style_1"/>
    <w:link w:val="Style_16_ch"/>
    <w:uiPriority w:val="39"/>
    <w:pPr>
      <w:ind w:left="1400" w:firstLine="0"/>
      <w:jc w:val="left"/>
    </w:pPr>
    <w:rPr>
      <w:rFonts w:ascii="XO Thames" w:hAnsi="XO Thames"/>
      <w:sz w:val="28"/>
    </w:rPr>
  </w:style>
  <w:style w:type="character" w:styleId="Style_16_ch">
    <w:name w:val="toc 8"/>
    <w:link w:val="Style_16"/>
    <w:rPr>
      <w:rFonts w:ascii="XO Thames" w:hAnsi="XO Thames"/>
      <w:sz w:val="28"/>
    </w:rPr>
  </w:style>
  <w:style w:type="paragraph" w:styleId="Style_17">
    <w:name w:val="toc 5"/>
    <w:next w:val="Style_1"/>
    <w:link w:val="Style_17_ch"/>
    <w:uiPriority w:val="39"/>
    <w:pPr>
      <w:ind w:left="800" w:firstLine="0"/>
      <w:jc w:val="left"/>
    </w:pPr>
    <w:rPr>
      <w:rFonts w:ascii="XO Thames" w:hAnsi="XO Thames"/>
      <w:sz w:val="28"/>
    </w:rPr>
  </w:style>
  <w:style w:type="character" w:styleId="Style_17_ch">
    <w:name w:val="toc 5"/>
    <w:link w:val="Style_17"/>
    <w:rPr>
      <w:rFonts w:ascii="XO Thames" w:hAnsi="XO Thames"/>
      <w:sz w:val="28"/>
    </w:rPr>
  </w:style>
  <w:style w:type="paragraph" w:styleId="Subtitle">
    <w:name w:val="Sub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both"/>
    </w:pPr>
    <w:rPr>
      <w:rFonts w:ascii="XO Thames" w:cs="XO Thames" w:eastAsia="XO Thames" w:hAnsi="XO Thames"/>
      <w:b w:val="0"/>
      <w:bCs w:val="0"/>
      <w:i w:val="1"/>
      <w:iCs w:val="1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XO Thames"/>
        <a:ea typeface=""/>
        <a:cs typeface=""/>
      </a:majorFont>
      <a:minorFont>
        <a:latin typeface="XO Thames"/>
        <a:ea typeface=""/>
        <a:cs typeface="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63000"/>
                <a:satMod val="300000"/>
              </a:schemeClr>
            </a:gs>
            <a:gs pos="100000">
              <a:schemeClr val="phClr">
                <a:tint val="85000"/>
                <a:satMod val="350000"/>
              </a:schemeClr>
            </a:gs>
          </a:gsLst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</a:gradFill>
      </a:fillStyleLst>
      <a:lnStyleLst>
        <a:ln w="6350">
          <a:solidFill>
            <a:schemeClr val="phClr">
              <a:shade val="95000"/>
              <a:satMod val="105000"/>
            </a:schemeClr>
          </a:solidFill>
          <a:prstDash val="solid"/>
        </a:ln>
        <a:ln w="12700">
          <a:solidFill>
            <a:schemeClr val="phClr"/>
          </a:solidFill>
          <a:prstDash val="solid"/>
        </a:ln>
        <a:ln w="19050">
          <a:solidFill>
            <a:schemeClr val="phClr"/>
          </a:solidFill>
          <a:prstDash val="solid"/>
        </a:ln>
      </a:lnStyleLst>
      <a:effectStyleLst>
        <a:effectStyle>
          <a:effectLst>
            <a:outerShdw>
              <a:srgbClr val="000000">
                <a:alpha val="38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60000"/>
                <a:satMod val="350000"/>
              </a:schemeClr>
            </a:gs>
            <a:gs pos="40000">
              <a:schemeClr val="phClr">
                <a:tint val="5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</a:gradFill>
        <a:gradFill>
          <a:gsLst>
            <a:gs pos="0">
              <a:schemeClr val="phClr">
                <a:tint val="2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</a:gradFill>
      </a:bgFillStyleLst>
    </a:fmtScheme>
  </a:themeElements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WPVzl7/Ey24VmpYS4hBXkpyEbpQ==">CgMxLjA4AHIhMXRsODJjZkpuZFBFejNzQ285eTNaUlRVZzJkR1FzeFNP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2026-03-30T18:04:34Z</dcterms:created>
</cp:coreProperties>
</file>