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Как подать коллективную жалобу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инструкция по составлению и подаче коллективной жалобы: почему это эффективно, как собрать подписи, как оформить шапку.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Коллективные жалобы рассматриваются быстрее и имеют больший вес.</w:t>
      </w:r>
    </w:p>
    <w:p w:rsidR="00000000" w:rsidDel="00000000" w:rsidP="00000000" w:rsidRDefault="00000000" w:rsidRPr="00000000" w14:paraId="0000000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Собрать подписи жильцов (с указанием ФИО, адреса квартиры)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Один текст жалобы, где все перечислены в шапке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Приложить копии документов (фото, акты)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Назначить одного или нескольких заявителей для контакта</w:t>
      </w:r>
    </w:p>
    <w:p w:rsidR="00000000" w:rsidDel="00000000" w:rsidP="00000000" w:rsidRDefault="00000000" w:rsidRPr="00000000" w14:paraId="0000000C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Образец шапки коллективной жалобы: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HD27S6L/jGSlZgDgpdCUAxhMw==">CgMxLjA4AHIhMVpNSHZJTERQWjVzNGRWTzlqRkNSNkw0Tm5iS0xiRm5f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2026-03-30T18:10:12Z</dcterms:created>
</cp:coreProperties>
</file>