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Как подать коллективную жалобу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апрель 2026</w:t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инструкция по составлению и подаче коллективной жалобы: почему это эффективно, как собрать подписи, как оформить шапку.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Коллективные жалобы рассматриваются быстрее и имеют больший вес.</w:t>
      </w:r>
    </w:p>
    <w:p w:rsidR="00000000" w:rsidDel="00000000" w:rsidP="00000000" w:rsidRDefault="00000000" w:rsidRPr="00000000" w14:paraId="0000000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Что нужно: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Собрать подписи жильцов (с указанием ФИО, адреса квартиры)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Один текст жалобы, где все перечислены в шапке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Приложить копии документов (фото, акты)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Назначить одного или нескольких заявителей для контакта</w:t>
      </w:r>
    </w:p>
    <w:p w:rsidR="00000000" w:rsidDel="00000000" w:rsidP="00000000" w:rsidRDefault="00000000" w:rsidRPr="00000000" w14:paraId="0000000C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Образец шапки коллективной жалобы: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VHD27S6L/jGSlZgDgpdCUAxhMw==">CgMxLjA4AHIhMVpNSHZJTERQWjVzNGRWTzlqRkNSNkw0Tm5iS0xiRm5f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2026-03-30T18:10:12Z</dcterms:created>
</cp:coreProperties>
</file>